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8621" w14:textId="0A260838" w:rsidR="00D75AFB" w:rsidRDefault="00112C87" w:rsidP="00112C87">
      <w:pPr>
        <w:tabs>
          <w:tab w:val="left" w:pos="8190"/>
        </w:tabs>
        <w:jc w:val="center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softHyphen/>
      </w:r>
      <w:r w:rsidR="00C04C14">
        <w:rPr>
          <w:rFonts w:ascii="Lucida Grande" w:hAnsi="Lucida Grande" w:cs="Lucida Grande"/>
          <w:sz w:val="24"/>
          <w:szCs w:val="24"/>
        </w:rPr>
        <w:softHyphen/>
      </w:r>
      <w:r w:rsidR="00C04C14">
        <w:rPr>
          <w:rFonts w:ascii="Lucida Grande" w:hAnsi="Lucida Grande" w:cs="Lucida Grande"/>
          <w:sz w:val="24"/>
          <w:szCs w:val="24"/>
        </w:rPr>
        <w:softHyphen/>
      </w:r>
      <w:r w:rsidR="00C04C14">
        <w:rPr>
          <w:rFonts w:ascii="Lucida Grande" w:hAnsi="Lucida Grande" w:cs="Lucida Grande"/>
          <w:sz w:val="24"/>
          <w:szCs w:val="24"/>
        </w:rPr>
        <w:softHyphen/>
        <w:t>–</w:t>
      </w:r>
      <w:r w:rsidR="00594BC6" w:rsidRPr="00851046">
        <w:rPr>
          <w:rFonts w:ascii="Lucida Grande" w:hAnsi="Lucida Grande" w:cs="Lucida Grande"/>
          <w:sz w:val="24"/>
          <w:szCs w:val="24"/>
        </w:rPr>
        <w:t xml:space="preserve"> </w:t>
      </w:r>
      <w:r w:rsidR="00BD306F">
        <w:rPr>
          <w:rFonts w:ascii="Lucida Grande" w:hAnsi="Lucida Grande" w:cs="Lucida Grande"/>
          <w:sz w:val="24"/>
          <w:szCs w:val="24"/>
        </w:rPr>
        <w:t xml:space="preserve">University / College </w:t>
      </w:r>
    </w:p>
    <w:p w14:paraId="4B066AC2" w14:textId="6B1D1CD0" w:rsidR="00BD306F" w:rsidRPr="00BD306F" w:rsidRDefault="00BD306F" w:rsidP="00D75AFB">
      <w:pPr>
        <w:jc w:val="center"/>
        <w:rPr>
          <w:rFonts w:ascii="Lucida Grande" w:hAnsi="Lucida Grande" w:cs="Lucida Grande"/>
          <w:b/>
          <w:sz w:val="24"/>
          <w:szCs w:val="24"/>
        </w:rPr>
      </w:pPr>
      <w:r w:rsidRPr="00BD306F">
        <w:rPr>
          <w:rFonts w:ascii="Lucida Grande" w:hAnsi="Lucida Grande" w:cs="Lucida Grande"/>
          <w:b/>
          <w:sz w:val="24"/>
          <w:szCs w:val="24"/>
        </w:rPr>
        <w:t xml:space="preserve">College of New Rochelle </w:t>
      </w:r>
    </w:p>
    <w:p w14:paraId="7F13625F" w14:textId="0A623773" w:rsidR="00B47B64" w:rsidRDefault="00112C87" w:rsidP="00D75AFB">
      <w:pPr>
        <w:jc w:val="center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softHyphen/>
      </w:r>
      <w:r>
        <w:rPr>
          <w:rFonts w:ascii="Lucida Grande" w:hAnsi="Lucida Grande" w:cs="Lucida Grande"/>
          <w:sz w:val="24"/>
          <w:szCs w:val="24"/>
        </w:rPr>
        <w:softHyphen/>
      </w:r>
      <w:r>
        <w:rPr>
          <w:rFonts w:ascii="Lucida Grande" w:hAnsi="Lucida Grande" w:cs="Lucida Grande"/>
          <w:sz w:val="24"/>
          <w:szCs w:val="24"/>
        </w:rPr>
        <w:softHyphen/>
      </w:r>
      <w:r w:rsidR="00AA230F">
        <w:rPr>
          <w:rFonts w:ascii="Lucida Grande" w:hAnsi="Lucida Grande" w:cs="Lucida Grande"/>
          <w:sz w:val="24"/>
          <w:szCs w:val="24"/>
        </w:rPr>
        <w:t xml:space="preserve">Department/ </w:t>
      </w:r>
      <w:r w:rsidR="00594BC6" w:rsidRPr="00851046">
        <w:rPr>
          <w:rFonts w:ascii="Lucida Grande" w:hAnsi="Lucida Grande" w:cs="Lucida Grande"/>
          <w:sz w:val="24"/>
          <w:szCs w:val="24"/>
        </w:rPr>
        <w:t xml:space="preserve">School/ </w:t>
      </w:r>
      <w:r w:rsidR="00AA230F">
        <w:rPr>
          <w:rFonts w:ascii="Lucida Grande" w:hAnsi="Lucida Grande" w:cs="Lucida Grande"/>
          <w:sz w:val="24"/>
          <w:szCs w:val="24"/>
        </w:rPr>
        <w:t xml:space="preserve">Instructor </w:t>
      </w:r>
    </w:p>
    <w:p w14:paraId="00681176" w14:textId="56E74C73" w:rsidR="00BD306F" w:rsidRPr="00BD306F" w:rsidRDefault="00BD306F" w:rsidP="00D75AFB">
      <w:pPr>
        <w:jc w:val="center"/>
        <w:rPr>
          <w:rFonts w:ascii="Lucida Grande" w:hAnsi="Lucida Grande" w:cs="Lucida Grande"/>
          <w:b/>
          <w:sz w:val="24"/>
          <w:szCs w:val="24"/>
        </w:rPr>
      </w:pPr>
      <w:r w:rsidRPr="00BD306F">
        <w:rPr>
          <w:rFonts w:ascii="Lucida Grande" w:hAnsi="Lucida Grande" w:cs="Lucida Grande"/>
          <w:b/>
          <w:sz w:val="24"/>
          <w:szCs w:val="24"/>
        </w:rPr>
        <w:t>Graduate School of Education</w:t>
      </w:r>
      <w:proofErr w:type="gramStart"/>
      <w:r w:rsidRPr="00BD306F">
        <w:rPr>
          <w:rFonts w:ascii="Lucida Grande" w:hAnsi="Lucida Grande" w:cs="Lucida Grande"/>
          <w:b/>
          <w:sz w:val="24"/>
          <w:szCs w:val="24"/>
        </w:rPr>
        <w:t>/  Dr</w:t>
      </w:r>
      <w:proofErr w:type="gramEnd"/>
      <w:r w:rsidRPr="00BD306F">
        <w:rPr>
          <w:rFonts w:ascii="Lucida Grande" w:hAnsi="Lucida Grande" w:cs="Lucida Grande"/>
          <w:b/>
          <w:sz w:val="24"/>
          <w:szCs w:val="24"/>
        </w:rPr>
        <w:t>. Kate Hathaway</w:t>
      </w:r>
    </w:p>
    <w:p w14:paraId="57054655" w14:textId="77777777" w:rsidR="00BD306F" w:rsidRPr="00851046" w:rsidRDefault="00BD306F" w:rsidP="00D75AFB">
      <w:pPr>
        <w:jc w:val="center"/>
        <w:rPr>
          <w:rFonts w:ascii="Lucida Grande" w:hAnsi="Lucida Grande" w:cs="Lucida Grand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B64" w:rsidRPr="00851046" w14:paraId="5A2D0D25" w14:textId="77777777">
        <w:trPr>
          <w:trHeight w:val="235"/>
        </w:trPr>
        <w:tc>
          <w:tcPr>
            <w:tcW w:w="9576" w:type="dxa"/>
            <w:shd w:val="clear" w:color="auto" w:fill="auto"/>
          </w:tcPr>
          <w:p w14:paraId="3A441B68" w14:textId="77777777" w:rsidR="00BD306F" w:rsidRPr="00126316" w:rsidRDefault="00AA230F" w:rsidP="00BD306F">
            <w:pPr>
              <w:rPr>
                <w:rFonts w:ascii="Calibri" w:hAnsi="Calibri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COURSE</w:t>
            </w:r>
            <w:r w:rsidR="00E40977" w:rsidRPr="00E2436B">
              <w:rPr>
                <w:rFonts w:ascii="Lucida Grande" w:hAnsi="Lucida Grande" w:cs="Lucida Grande"/>
                <w:sz w:val="24"/>
                <w:szCs w:val="24"/>
              </w:rPr>
              <w:t xml:space="preserve"> TITLE:  </w:t>
            </w:r>
          </w:p>
          <w:p w14:paraId="61DC2F09" w14:textId="77777777" w:rsidR="00BD306F" w:rsidRPr="00126316" w:rsidRDefault="00BD306F" w:rsidP="00BD306F">
            <w:pPr>
              <w:pStyle w:val="BodyText3"/>
              <w:spacing w:before="0"/>
              <w:rPr>
                <w:rFonts w:ascii="Calibri" w:hAnsi="Calibri"/>
                <w:b w:val="0"/>
                <w:sz w:val="20"/>
              </w:rPr>
            </w:pPr>
            <w:r w:rsidRPr="00126316">
              <w:rPr>
                <w:rFonts w:ascii="Calibri" w:hAnsi="Calibri"/>
                <w:b w:val="0"/>
                <w:sz w:val="20"/>
              </w:rPr>
              <w:t xml:space="preserve">LIT </w:t>
            </w:r>
            <w:proofErr w:type="gramStart"/>
            <w:r w:rsidRPr="00126316">
              <w:rPr>
                <w:rFonts w:ascii="Calibri" w:hAnsi="Calibri"/>
                <w:b w:val="0"/>
                <w:sz w:val="20"/>
              </w:rPr>
              <w:t>50</w:t>
            </w:r>
            <w:r>
              <w:rPr>
                <w:rFonts w:ascii="Calibri" w:hAnsi="Calibri"/>
                <w:b w:val="0"/>
                <w:sz w:val="20"/>
              </w:rPr>
              <w:t>2</w:t>
            </w:r>
            <w:r w:rsidRPr="00126316">
              <w:rPr>
                <w:rFonts w:ascii="Calibri" w:hAnsi="Calibri"/>
                <w:b w:val="0"/>
                <w:sz w:val="20"/>
              </w:rPr>
              <w:t xml:space="preserve">  Teaching</w:t>
            </w:r>
            <w:proofErr w:type="gramEnd"/>
            <w:r w:rsidRPr="00126316">
              <w:rPr>
                <w:rFonts w:ascii="Calibri" w:hAnsi="Calibri"/>
                <w:b w:val="0"/>
                <w:sz w:val="20"/>
              </w:rPr>
              <w:t xml:space="preserve"> Reading Comprehension (3 credits) </w:t>
            </w:r>
          </w:p>
          <w:p w14:paraId="25B1D42B" w14:textId="77777777" w:rsidR="00E40977" w:rsidRPr="00E2436B" w:rsidRDefault="00E40977" w:rsidP="00E2436B">
            <w:pPr>
              <w:spacing w:line="276" w:lineRule="auto"/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22540A0" w14:textId="77777777" w:rsidR="00B47B64" w:rsidRPr="00851046" w:rsidRDefault="00B47B64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037F0C1" w14:textId="77777777">
        <w:trPr>
          <w:trHeight w:val="395"/>
        </w:trPr>
        <w:tc>
          <w:tcPr>
            <w:tcW w:w="9576" w:type="dxa"/>
            <w:shd w:val="clear" w:color="auto" w:fill="DBE5F1" w:themeFill="accent1" w:themeFillTint="33"/>
          </w:tcPr>
          <w:p w14:paraId="0D5E282D" w14:textId="77777777" w:rsidR="00851046" w:rsidRPr="00851046" w:rsidRDefault="00E2436B" w:rsidP="00AA230F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OVERVIEW – P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>urposes/</w:t>
            </w:r>
            <w:r w:rsidR="00E46364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 xml:space="preserve">Pre-requisites </w:t>
            </w:r>
          </w:p>
        </w:tc>
      </w:tr>
      <w:tr w:rsidR="00E2436B" w:rsidRPr="00851046" w14:paraId="295D6DD9" w14:textId="77777777">
        <w:trPr>
          <w:trHeight w:val="1727"/>
        </w:trPr>
        <w:tc>
          <w:tcPr>
            <w:tcW w:w="9576" w:type="dxa"/>
            <w:shd w:val="clear" w:color="auto" w:fill="auto"/>
          </w:tcPr>
          <w:p w14:paraId="2D1C14F9" w14:textId="20F7B447" w:rsidR="00E2436B" w:rsidRDefault="00BD306F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7A1389">
              <w:rPr>
                <w:rFonts w:ascii="Calibri" w:hAnsi="Calibri"/>
                <w:sz w:val="20"/>
              </w:rPr>
              <w:t xml:space="preserve">This course is provides basic knowledge of theories of cognition and learning and how they support instruction in comprehension strategies.  Students will demonstrate proficiency in developing a literacy curriculum, including instruction in vocabulary skills, building comprehension and constructing meaning. This course will include field experiences, 5 hours.  </w:t>
            </w:r>
            <w:r w:rsidRPr="007A1389">
              <w:rPr>
                <w:rFonts w:ascii="Calibri" w:hAnsi="Calibri"/>
                <w:i/>
                <w:iCs/>
                <w:sz w:val="20"/>
                <w:u w:val="single"/>
              </w:rPr>
              <w:t>No prerequisites.</w:t>
            </w:r>
            <w:r w:rsidRPr="007A1389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E0215C" w:rsidRPr="00851046" w14:paraId="7BABC733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004BEC10" w14:textId="77777777" w:rsidR="00E0215C" w:rsidRPr="00851046" w:rsidRDefault="00AA230F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Essential Understandings (Big Ideas) </w:t>
            </w:r>
          </w:p>
        </w:tc>
      </w:tr>
      <w:tr w:rsidR="00594BC6" w:rsidRPr="00851046" w14:paraId="3923B3A1" w14:textId="77777777">
        <w:tc>
          <w:tcPr>
            <w:tcW w:w="9576" w:type="dxa"/>
            <w:shd w:val="clear" w:color="auto" w:fill="auto"/>
          </w:tcPr>
          <w:p w14:paraId="0805E1E0" w14:textId="2B66101B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584A7F1" w14:textId="6C459D94" w:rsidR="00647B7C" w:rsidRPr="00874A57" w:rsidRDefault="00874A57" w:rsidP="00874A57">
            <w:pPr>
              <w:pStyle w:val="ListParagraph"/>
              <w:numPr>
                <w:ilvl w:val="0"/>
                <w:numId w:val="16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874A57">
              <w:rPr>
                <w:rFonts w:ascii="Lucida Grande" w:hAnsi="Lucida Grande" w:cs="Lucida Grande"/>
                <w:sz w:val="24"/>
                <w:szCs w:val="24"/>
              </w:rPr>
              <w:t>Pre</w:t>
            </w:r>
            <w:r w:rsidR="00647B7C" w:rsidRPr="00874A57">
              <w:rPr>
                <w:rFonts w:ascii="Lucida Grande" w:hAnsi="Lucida Grande" w:cs="Lucida Grande"/>
                <w:sz w:val="24"/>
                <w:szCs w:val="24"/>
              </w:rPr>
              <w:t xml:space="preserve">-reading experiences </w:t>
            </w:r>
            <w:r w:rsidRPr="00874A57">
              <w:rPr>
                <w:rFonts w:ascii="Lucida Grande" w:hAnsi="Lucida Grande" w:cs="Lucida Grande"/>
                <w:sz w:val="24"/>
                <w:szCs w:val="24"/>
              </w:rPr>
              <w:t xml:space="preserve">assist learners in full understanding of an author’s intent. </w:t>
            </w:r>
          </w:p>
          <w:p w14:paraId="4D2B6AA5" w14:textId="77777777" w:rsidR="00647B7C" w:rsidRDefault="00647B7C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4B6F0EA" w14:textId="1CDBF1F5" w:rsidR="00594BC6" w:rsidRPr="00874A57" w:rsidRDefault="00647B7C" w:rsidP="00874A57">
            <w:pPr>
              <w:pStyle w:val="ListParagraph"/>
              <w:numPr>
                <w:ilvl w:val="0"/>
                <w:numId w:val="16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874A57">
              <w:rPr>
                <w:rFonts w:ascii="Lucida Grande" w:hAnsi="Lucida Grande" w:cs="Lucida Grande"/>
                <w:sz w:val="24"/>
                <w:szCs w:val="24"/>
              </w:rPr>
              <w:t xml:space="preserve">Readers need strategies to engage text to making meaning. </w:t>
            </w:r>
          </w:p>
          <w:p w14:paraId="45BB2031" w14:textId="77777777" w:rsidR="00874A57" w:rsidRDefault="00874A57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CEC128" w14:textId="665EFA6A" w:rsidR="00874A57" w:rsidRPr="00874A57" w:rsidRDefault="00874A57" w:rsidP="00874A57">
            <w:pPr>
              <w:pStyle w:val="ListParagraph"/>
              <w:numPr>
                <w:ilvl w:val="0"/>
                <w:numId w:val="16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874A57">
              <w:rPr>
                <w:rFonts w:ascii="Lucida Grande" w:hAnsi="Lucida Grande" w:cs="Lucida Grande"/>
                <w:sz w:val="24"/>
                <w:szCs w:val="24"/>
              </w:rPr>
              <w:t xml:space="preserve">Return to text can deepen the reading experience. </w:t>
            </w:r>
          </w:p>
          <w:p w14:paraId="3CDDFE00" w14:textId="77777777" w:rsidR="00647B7C" w:rsidRPr="00851046" w:rsidRDefault="00647B7C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945371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F5F77BF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C81C709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BD664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209B2F8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94BC6" w:rsidRPr="00851046" w14:paraId="377A0038" w14:textId="77777777">
        <w:trPr>
          <w:trHeight w:val="341"/>
        </w:trPr>
        <w:tc>
          <w:tcPr>
            <w:tcW w:w="9576" w:type="dxa"/>
            <w:shd w:val="clear" w:color="auto" w:fill="DBE5F1" w:themeFill="accent1" w:themeFillTint="33"/>
          </w:tcPr>
          <w:p w14:paraId="29AEF1AB" w14:textId="77777777" w:rsidR="00594BC6" w:rsidRPr="00851046" w:rsidRDefault="00594BC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Essential Questions: </w:t>
            </w:r>
          </w:p>
        </w:tc>
      </w:tr>
      <w:tr w:rsidR="00E0215C" w:rsidRPr="00851046" w14:paraId="6C85EB54" w14:textId="77777777">
        <w:trPr>
          <w:trHeight w:val="2267"/>
        </w:trPr>
        <w:tc>
          <w:tcPr>
            <w:tcW w:w="9576" w:type="dxa"/>
            <w:shd w:val="clear" w:color="auto" w:fill="auto"/>
          </w:tcPr>
          <w:p w14:paraId="5E6728AD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0C78F1F" w14:textId="13E5CF8B" w:rsidR="00EC6B51" w:rsidRPr="00874A57" w:rsidRDefault="00EC6B51" w:rsidP="00002EAF">
            <w:pPr>
              <w:pStyle w:val="ListParagraph"/>
              <w:numPr>
                <w:ilvl w:val="0"/>
                <w:numId w:val="7"/>
              </w:numPr>
              <w:ind w:left="1080"/>
              <w:contextualSpacing w:val="0"/>
              <w:rPr>
                <w:rFonts w:ascii="Calibri" w:hAnsi="Calibri"/>
                <w:bCs/>
                <w:sz w:val="24"/>
                <w:szCs w:val="24"/>
              </w:rPr>
            </w:pPr>
            <w:r w:rsidRPr="00874A57">
              <w:rPr>
                <w:rFonts w:ascii="Calibri" w:hAnsi="Calibri"/>
                <w:bCs/>
                <w:sz w:val="24"/>
                <w:szCs w:val="24"/>
              </w:rPr>
              <w:t xml:space="preserve">What information do the students need ahead of time in order to fully understand what the authors are trying to say? </w:t>
            </w:r>
          </w:p>
          <w:p w14:paraId="064A241F" w14:textId="77777777" w:rsidR="00002EAF" w:rsidRPr="00874A57" w:rsidRDefault="00002EAF" w:rsidP="00002EAF">
            <w:pPr>
              <w:pStyle w:val="ListParagraph"/>
              <w:ind w:left="1080"/>
              <w:contextualSpacing w:val="0"/>
              <w:rPr>
                <w:rFonts w:ascii="Calibri" w:hAnsi="Calibri"/>
                <w:bCs/>
                <w:sz w:val="24"/>
                <w:szCs w:val="24"/>
              </w:rPr>
            </w:pPr>
          </w:p>
          <w:p w14:paraId="77FB3A9C" w14:textId="7257BA98" w:rsidR="00EC6B51" w:rsidRPr="00874A57" w:rsidRDefault="00EC6B51" w:rsidP="00EC6B51">
            <w:pPr>
              <w:pStyle w:val="ListParagraph"/>
              <w:numPr>
                <w:ilvl w:val="0"/>
                <w:numId w:val="7"/>
              </w:numPr>
              <w:ind w:left="1080"/>
              <w:contextualSpacing w:val="0"/>
              <w:rPr>
                <w:rFonts w:ascii="Calibri" w:hAnsi="Calibri"/>
                <w:bCs/>
                <w:sz w:val="24"/>
                <w:szCs w:val="24"/>
              </w:rPr>
            </w:pPr>
            <w:r w:rsidRPr="00874A57">
              <w:rPr>
                <w:rFonts w:ascii="Calibri" w:hAnsi="Calibri"/>
                <w:bCs/>
                <w:sz w:val="24"/>
                <w:szCs w:val="24"/>
              </w:rPr>
              <w:t xml:space="preserve">How </w:t>
            </w:r>
            <w:proofErr w:type="gramStart"/>
            <w:r w:rsidRPr="00874A57">
              <w:rPr>
                <w:rFonts w:ascii="Calibri" w:hAnsi="Calibri"/>
                <w:bCs/>
                <w:sz w:val="24"/>
                <w:szCs w:val="24"/>
              </w:rPr>
              <w:t>will students be expected to become acquainted</w:t>
            </w:r>
            <w:proofErr w:type="gramEnd"/>
            <w:r w:rsidRPr="00874A57">
              <w:rPr>
                <w:rFonts w:ascii="Calibri" w:hAnsi="Calibri"/>
                <w:bCs/>
                <w:sz w:val="24"/>
                <w:szCs w:val="24"/>
              </w:rPr>
              <w:t xml:space="preserve"> with the text?  </w:t>
            </w:r>
          </w:p>
          <w:p w14:paraId="4FBB0416" w14:textId="77777777" w:rsidR="00EC6B51" w:rsidRPr="00874A57" w:rsidRDefault="00EC6B51" w:rsidP="00EC6B51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5CED5C28" w14:textId="60505E9A" w:rsidR="00594BC6" w:rsidRPr="00874A57" w:rsidRDefault="00EC6B51" w:rsidP="00594BC6">
            <w:pPr>
              <w:pStyle w:val="ListParagraph"/>
              <w:numPr>
                <w:ilvl w:val="0"/>
                <w:numId w:val="7"/>
              </w:numPr>
              <w:ind w:left="1080"/>
              <w:contextualSpacing w:val="0"/>
              <w:rPr>
                <w:rFonts w:ascii="Lucida Grande" w:hAnsi="Lucida Grande" w:cs="Lucida Grande"/>
                <w:sz w:val="24"/>
                <w:szCs w:val="24"/>
              </w:rPr>
            </w:pPr>
            <w:r w:rsidRPr="00874A57">
              <w:rPr>
                <w:rFonts w:ascii="Calibri" w:hAnsi="Calibri"/>
                <w:bCs/>
                <w:sz w:val="24"/>
                <w:szCs w:val="24"/>
              </w:rPr>
              <w:t xml:space="preserve">Which aspects of the text should be focus of the second read? </w:t>
            </w:r>
          </w:p>
          <w:p w14:paraId="18F54054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3B1892C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CE8085F" w14:textId="77777777" w:rsidR="00594BC6" w:rsidRPr="00851046" w:rsidRDefault="00594BC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95DE82" w14:textId="77777777" w:rsidR="00B7792D" w:rsidRPr="00851046" w:rsidRDefault="00B7792D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64E5D2F" w14:textId="77777777">
        <w:trPr>
          <w:trHeight w:val="414"/>
        </w:trPr>
        <w:tc>
          <w:tcPr>
            <w:tcW w:w="9576" w:type="dxa"/>
            <w:shd w:val="clear" w:color="auto" w:fill="DBE5F1" w:themeFill="accent1" w:themeFillTint="33"/>
          </w:tcPr>
          <w:p w14:paraId="68A1E801" w14:textId="1D655201" w:rsidR="00851046" w:rsidRPr="00851046" w:rsidRDefault="00851046" w:rsidP="00AA230F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C3604D">
              <w:rPr>
                <w:rFonts w:ascii="Lucida Grande" w:hAnsi="Lucida Grande" w:cs="Lucida Grande"/>
                <w:sz w:val="24"/>
                <w:szCs w:val="24"/>
              </w:rPr>
              <w:lastRenderedPageBreak/>
              <w:t xml:space="preserve"> 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Standards </w:t>
            </w:r>
            <w:r w:rsidR="00981B38">
              <w:rPr>
                <w:rFonts w:ascii="Lucida Grande" w:hAnsi="Lucida Grande" w:cs="Lucida Grande"/>
                <w:sz w:val="24"/>
                <w:szCs w:val="24"/>
              </w:rPr>
              <w:t xml:space="preserve">– (ALST / </w:t>
            </w:r>
            <w:proofErr w:type="spellStart"/>
            <w:r w:rsidR="00981B38">
              <w:rPr>
                <w:rFonts w:ascii="Lucida Grande" w:hAnsi="Lucida Grande" w:cs="Lucida Grande"/>
                <w:sz w:val="24"/>
                <w:szCs w:val="24"/>
              </w:rPr>
              <w:t>edTPA</w:t>
            </w:r>
            <w:proofErr w:type="spellEnd"/>
            <w:r w:rsidR="00540DC1">
              <w:rPr>
                <w:rFonts w:ascii="Lucida Grande" w:hAnsi="Lucida Grande" w:cs="Lucida Grande"/>
                <w:sz w:val="24"/>
                <w:szCs w:val="24"/>
              </w:rPr>
              <w:t xml:space="preserve">/ NY State) </w:t>
            </w:r>
          </w:p>
        </w:tc>
      </w:tr>
      <w:tr w:rsidR="00851046" w:rsidRPr="00851046" w14:paraId="34697317" w14:textId="77777777">
        <w:trPr>
          <w:trHeight w:val="3608"/>
        </w:trPr>
        <w:tc>
          <w:tcPr>
            <w:tcW w:w="9576" w:type="dxa"/>
            <w:shd w:val="clear" w:color="auto" w:fill="auto"/>
          </w:tcPr>
          <w:p w14:paraId="45CCD34C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NYS Standards:</w:t>
            </w:r>
          </w:p>
          <w:p w14:paraId="5DD2F010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52.21(b) (2)(ii)(c)(1) (ii, iv, v, vi, viii)</w:t>
            </w:r>
          </w:p>
          <w:p w14:paraId="1BC08558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52.21(b) (2)(ii)(c)(1)(ii, iv, v, vii)</w:t>
            </w:r>
          </w:p>
          <w:p w14:paraId="528036BB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</w:p>
          <w:p w14:paraId="00506D68" w14:textId="77777777" w:rsidR="00540DC1" w:rsidRPr="008433C6" w:rsidRDefault="00540DC1" w:rsidP="00540DC1">
            <w:pPr>
              <w:pStyle w:val="BodyTextIndent"/>
              <w:ind w:left="0"/>
              <w:rPr>
                <w:sz w:val="24"/>
                <w:szCs w:val="24"/>
              </w:rPr>
            </w:pPr>
          </w:p>
          <w:p w14:paraId="2881EF39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INTASC Standards: 1.10-1.13, 1.22, 1.24, 1.32, 3.13-3.15, 1.36, 3.13, 3.14, 3.15, 4.12</w:t>
            </w:r>
          </w:p>
          <w:p w14:paraId="028004F3" w14:textId="044A9FB2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INTASC Standards:  1.10-1.13, 1.22, 1.24, 1.32, 1.33, 1.35, 4.33, 4.34</w:t>
            </w:r>
          </w:p>
          <w:p w14:paraId="20A408F2" w14:textId="77777777" w:rsidR="00540DC1" w:rsidRPr="00393F79" w:rsidRDefault="00540DC1" w:rsidP="00540DC1">
            <w:pPr>
              <w:pStyle w:val="BodyTextIndent"/>
              <w:rPr>
                <w:sz w:val="20"/>
              </w:rPr>
            </w:pPr>
          </w:p>
          <w:p w14:paraId="2759A05A" w14:textId="77777777" w:rsidR="00851046" w:rsidRPr="00851046" w:rsidRDefault="00851046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25B5BC79" w14:textId="77777777">
        <w:trPr>
          <w:trHeight w:val="413"/>
        </w:trPr>
        <w:tc>
          <w:tcPr>
            <w:tcW w:w="9576" w:type="dxa"/>
            <w:shd w:val="clear" w:color="auto" w:fill="DBE5F1" w:themeFill="accent1" w:themeFillTint="33"/>
          </w:tcPr>
          <w:p w14:paraId="4C70FD64" w14:textId="095A3878" w:rsidR="00851046" w:rsidRPr="00851046" w:rsidRDefault="00AA230F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  <w:proofErr w:type="gramStart"/>
            <w:r>
              <w:rPr>
                <w:rFonts w:ascii="Lucida Grande" w:hAnsi="Lucida Grande" w:cs="Lucida Grande"/>
                <w:sz w:val="24"/>
                <w:szCs w:val="24"/>
              </w:rPr>
              <w:t xml:space="preserve">Content </w:t>
            </w:r>
            <w:r w:rsidR="00AC454D">
              <w:rPr>
                <w:rFonts w:ascii="Lucida Grande" w:hAnsi="Lucida Grande" w:cs="Lucida Grande"/>
                <w:sz w:val="24"/>
                <w:szCs w:val="24"/>
              </w:rPr>
              <w:t xml:space="preserve"> Standards</w:t>
            </w:r>
            <w:proofErr w:type="gramEnd"/>
            <w:r w:rsidR="00540DC1">
              <w:rPr>
                <w:rFonts w:ascii="Lucida Grande" w:hAnsi="Lucida Grande" w:cs="Lucida Grande"/>
                <w:sz w:val="24"/>
                <w:szCs w:val="24"/>
              </w:rPr>
              <w:t xml:space="preserve"> (CST)</w:t>
            </w:r>
          </w:p>
        </w:tc>
      </w:tr>
      <w:tr w:rsidR="00E2436B" w:rsidRPr="00851046" w14:paraId="15D88093" w14:textId="77777777">
        <w:trPr>
          <w:trHeight w:val="3365"/>
        </w:trPr>
        <w:tc>
          <w:tcPr>
            <w:tcW w:w="9576" w:type="dxa"/>
            <w:shd w:val="clear" w:color="auto" w:fill="auto"/>
          </w:tcPr>
          <w:p w14:paraId="581CA279" w14:textId="77777777" w:rsidR="00E2436B" w:rsidRDefault="00E2436B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D91E827" w14:textId="77777777" w:rsidR="00540DC1" w:rsidRDefault="00540DC1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1840519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</w:p>
          <w:p w14:paraId="00C45D43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IRA Standards:  1.1-1.4, 2.1-2.3, 5.1</w:t>
            </w:r>
          </w:p>
          <w:p w14:paraId="083A8A44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IRA Standards:  2.2, 2.3, 4.1-4.4</w:t>
            </w:r>
          </w:p>
          <w:p w14:paraId="480C2AF3" w14:textId="77777777" w:rsidR="00540DC1" w:rsidRPr="00851046" w:rsidRDefault="00540DC1" w:rsidP="00594BC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1DE16486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2DC9482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CONTENT 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>–Focus topics/issues</w:t>
            </w:r>
          </w:p>
        </w:tc>
      </w:tr>
      <w:tr w:rsidR="00851046" w:rsidRPr="00851046" w14:paraId="51D807E6" w14:textId="77777777">
        <w:trPr>
          <w:trHeight w:val="3428"/>
        </w:trPr>
        <w:tc>
          <w:tcPr>
            <w:tcW w:w="9576" w:type="dxa"/>
            <w:shd w:val="clear" w:color="auto" w:fill="auto"/>
          </w:tcPr>
          <w:p w14:paraId="6ADA1B2E" w14:textId="28768BDC" w:rsidR="00851046" w:rsidRPr="00851046" w:rsidRDefault="00851046" w:rsidP="00E40977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D36C371" w14:textId="3236C98E" w:rsidR="008433C6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An Introduction to Close Reading</w:t>
            </w:r>
            <w:proofErr w:type="gramStart"/>
            <w:r w:rsidRPr="000B4AEC">
              <w:rPr>
                <w:rFonts w:ascii="Calibri" w:hAnsi="Calibri"/>
              </w:rPr>
              <w:t>;  How</w:t>
            </w:r>
            <w:proofErr w:type="gramEnd"/>
            <w:r w:rsidRPr="000B4AEC">
              <w:rPr>
                <w:rFonts w:ascii="Calibri" w:hAnsi="Calibri"/>
              </w:rPr>
              <w:t xml:space="preserve"> Does It Feel to Read Difficult Text?</w:t>
            </w:r>
          </w:p>
          <w:p w14:paraId="4B123020" w14:textId="13CD1F35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 w:rsidRPr="000B4AEC">
              <w:rPr>
                <w:rFonts w:ascii="Calibri" w:hAnsi="Calibri"/>
              </w:rPr>
              <w:t>Text Structure and Complex Text;</w:t>
            </w:r>
            <w:r w:rsidRPr="000B4AEC">
              <w:rPr>
                <w:rFonts w:ascii="Calibri" w:hAnsi="Calibri"/>
                <w:b/>
              </w:rPr>
              <w:t xml:space="preserve"> </w:t>
            </w:r>
            <w:r w:rsidRPr="000B4AEC">
              <w:rPr>
                <w:rFonts w:ascii="Calibri" w:hAnsi="Calibri"/>
              </w:rPr>
              <w:t>In-Class Collaborative Article Critique</w:t>
            </w:r>
          </w:p>
          <w:p w14:paraId="63C95948" w14:textId="3E7313D2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b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Decoding and Fluency’s Impact on Comprehension</w:t>
            </w:r>
          </w:p>
          <w:p w14:paraId="17405075" w14:textId="4EAE4362" w:rsidR="00851046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Prior Knowledge and its Impact on Comprehension</w:t>
            </w:r>
          </w:p>
          <w:p w14:paraId="0E5BF0A1" w14:textId="1D624AB2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Using Close Reading to Understand Poetry and Speeches</w:t>
            </w:r>
            <w:bookmarkStart w:id="0" w:name="_GoBack"/>
            <w:bookmarkEnd w:id="0"/>
          </w:p>
          <w:p w14:paraId="2BDD5604" w14:textId="6539ADB2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Using Close Reading to Clarify Narrative Text</w:t>
            </w:r>
          </w:p>
          <w:p w14:paraId="590EE9B0" w14:textId="668E35C9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Close Reading of Informational Text</w:t>
            </w:r>
          </w:p>
          <w:p w14:paraId="5E7AD3F5" w14:textId="29223812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Constructing Meaning Through Responding</w:t>
            </w:r>
          </w:p>
          <w:p w14:paraId="195B5D84" w14:textId="2E2970E5" w:rsidR="00851046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Constructing Meaning Through Responding</w:t>
            </w:r>
          </w:p>
          <w:p w14:paraId="611F4F97" w14:textId="085BD5DE" w:rsidR="00851046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Using Writer’s Workshop to Extend Comprehension</w:t>
            </w:r>
          </w:p>
          <w:p w14:paraId="4628645D" w14:textId="169F1EE7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B4AEC">
              <w:rPr>
                <w:rFonts w:ascii="Calibri" w:hAnsi="Calibri"/>
              </w:rPr>
              <w:t>Reading Comprehension in Middle and High School</w:t>
            </w:r>
          </w:p>
          <w:p w14:paraId="093D4E5E" w14:textId="486E25F6" w:rsidR="00851046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Differentiating Comprehension Instruction</w:t>
            </w:r>
          </w:p>
          <w:p w14:paraId="44B32E6D" w14:textId="2908E032" w:rsidR="00B45124" w:rsidRPr="000B4AEC" w:rsidRDefault="00B45124" w:rsidP="000B4AEC">
            <w:pPr>
              <w:pStyle w:val="ListParagraph"/>
              <w:numPr>
                <w:ilvl w:val="0"/>
                <w:numId w:val="15"/>
              </w:numPr>
              <w:rPr>
                <w:rFonts w:ascii="Lucida Grande" w:hAnsi="Lucida Grande" w:cs="Lucida Grande"/>
                <w:sz w:val="24"/>
                <w:szCs w:val="24"/>
              </w:rPr>
            </w:pPr>
            <w:r w:rsidRPr="000B4AEC">
              <w:rPr>
                <w:rFonts w:ascii="Calibri" w:hAnsi="Calibri"/>
              </w:rPr>
              <w:t>Viewing the Common Core and State Standards through the Eyes of a Reading Specialist</w:t>
            </w:r>
          </w:p>
          <w:p w14:paraId="0FF41EF4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542FF6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C0C87B" w14:textId="77777777" w:rsidR="00851046" w:rsidRPr="00851046" w:rsidRDefault="00851046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851046" w:rsidRPr="00851046" w14:paraId="7CC141D7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67B3EE13" w14:textId="77777777" w:rsidR="00851046" w:rsidRPr="00851046" w:rsidRDefault="00C3604D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SKILLS</w:t>
            </w:r>
            <w:r w:rsidR="00AA230F">
              <w:rPr>
                <w:rFonts w:ascii="Lucida Grande" w:hAnsi="Lucida Grande" w:cs="Lucida Grande"/>
                <w:sz w:val="24"/>
                <w:szCs w:val="24"/>
              </w:rPr>
              <w:t xml:space="preserve">/ STRATEGIES </w:t>
            </w:r>
          </w:p>
        </w:tc>
      </w:tr>
      <w:tr w:rsidR="00540DC1" w:rsidRPr="00851046" w14:paraId="5ECD1567" w14:textId="77777777">
        <w:trPr>
          <w:trHeight w:val="4823"/>
        </w:trPr>
        <w:tc>
          <w:tcPr>
            <w:tcW w:w="9576" w:type="dxa"/>
          </w:tcPr>
          <w:p w14:paraId="5FC919A4" w14:textId="77777777" w:rsidR="00540DC1" w:rsidRDefault="00540DC1" w:rsidP="00540DC1">
            <w:pPr>
              <w:pStyle w:val="BodyTextIndent"/>
              <w:rPr>
                <w:sz w:val="20"/>
              </w:rPr>
            </w:pPr>
          </w:p>
          <w:p w14:paraId="40E9A170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Describe research-based strategies that enable students to comprehend narrative text</w:t>
            </w:r>
          </w:p>
          <w:p w14:paraId="5DE31F00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</w:p>
          <w:p w14:paraId="6D29309E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Describe Common Core standards and how they have changed practice</w:t>
            </w:r>
          </w:p>
          <w:p w14:paraId="20DEB2E7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</w:p>
          <w:p w14:paraId="0C19AF61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 xml:space="preserve">Evaluate readability and comprehensibility of texts </w:t>
            </w:r>
          </w:p>
          <w:p w14:paraId="614B82C7" w14:textId="77777777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</w:p>
          <w:p w14:paraId="28E4F1AC" w14:textId="7218241B" w:rsidR="00540DC1" w:rsidRPr="008433C6" w:rsidRDefault="00540DC1" w:rsidP="00540DC1">
            <w:pPr>
              <w:pStyle w:val="BodyTextIndent"/>
              <w:rPr>
                <w:sz w:val="24"/>
                <w:szCs w:val="24"/>
              </w:rPr>
            </w:pPr>
            <w:r w:rsidRPr="008433C6">
              <w:rPr>
                <w:sz w:val="24"/>
                <w:szCs w:val="24"/>
              </w:rPr>
              <w:t>Write lesson plans addressing various aspects of reading comprehension skills</w:t>
            </w:r>
          </w:p>
          <w:p w14:paraId="5069C838" w14:textId="77777777" w:rsidR="00540DC1" w:rsidRPr="00393F79" w:rsidRDefault="00540DC1" w:rsidP="00540DC1">
            <w:pPr>
              <w:pStyle w:val="BodyTextIndent"/>
              <w:rPr>
                <w:sz w:val="20"/>
              </w:rPr>
            </w:pPr>
          </w:p>
          <w:p w14:paraId="5EFB03C9" w14:textId="77777777" w:rsidR="00540DC1" w:rsidRPr="00851046" w:rsidRDefault="00540DC1" w:rsidP="00540DC1">
            <w:pPr>
              <w:pStyle w:val="BodyTextIndent"/>
              <w:ind w:left="0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40DC1" w:rsidRPr="00851046" w14:paraId="2B0A0885" w14:textId="77777777">
        <w:trPr>
          <w:trHeight w:val="323"/>
        </w:trPr>
        <w:tc>
          <w:tcPr>
            <w:tcW w:w="9576" w:type="dxa"/>
            <w:shd w:val="clear" w:color="auto" w:fill="DBE5F1" w:themeFill="accent1" w:themeFillTint="33"/>
          </w:tcPr>
          <w:p w14:paraId="2A4A486C" w14:textId="77777777" w:rsidR="00540DC1" w:rsidRPr="00393F79" w:rsidRDefault="00540DC1" w:rsidP="00540DC1">
            <w:pPr>
              <w:pStyle w:val="BodyTextIndent"/>
              <w:rPr>
                <w:sz w:val="20"/>
              </w:rPr>
            </w:pPr>
          </w:p>
          <w:p w14:paraId="7CBAF305" w14:textId="7AB389AC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>ASSESSMENT</w:t>
            </w:r>
            <w:r w:rsidR="008433C6">
              <w:rPr>
                <w:rFonts w:ascii="Lucida Grande" w:hAnsi="Lucida Grande" w:cs="Lucida Grande"/>
                <w:sz w:val="24"/>
                <w:szCs w:val="24"/>
              </w:rPr>
              <w:t>S</w:t>
            </w:r>
            <w:r>
              <w:rPr>
                <w:rFonts w:ascii="Lucida Grande" w:hAnsi="Lucida Grande" w:cs="Lucida Grande"/>
                <w:sz w:val="24"/>
                <w:szCs w:val="24"/>
              </w:rPr>
              <w:t xml:space="preserve">/ </w:t>
            </w:r>
            <w:r w:rsidR="008433C6">
              <w:rPr>
                <w:rFonts w:ascii="Lucida Grande" w:hAnsi="Lucida Grande" w:cs="Lucida Grande"/>
                <w:sz w:val="24"/>
                <w:szCs w:val="24"/>
              </w:rPr>
              <w:t xml:space="preserve">Evidence/ASSIGNMENTS </w:t>
            </w:r>
          </w:p>
        </w:tc>
      </w:tr>
      <w:tr w:rsidR="00540DC1" w:rsidRPr="00851046" w14:paraId="00D92DC1" w14:textId="77777777" w:rsidTr="000B4AEC">
        <w:trPr>
          <w:trHeight w:val="773"/>
        </w:trPr>
        <w:tc>
          <w:tcPr>
            <w:tcW w:w="9576" w:type="dxa"/>
          </w:tcPr>
          <w:p w14:paraId="3AF599FA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3FD1D6D" w14:textId="77777777" w:rsidR="00F87A55" w:rsidRPr="000204D6" w:rsidRDefault="00F87A55" w:rsidP="00F87A55">
            <w:pPr>
              <w:ind w:left="720" w:hanging="360"/>
              <w:rPr>
                <w:rFonts w:ascii="Calibri" w:hAnsi="Calibri"/>
                <w:i/>
              </w:rPr>
            </w:pPr>
            <w:r w:rsidRPr="000204D6">
              <w:rPr>
                <w:rFonts w:ascii="Calibri" w:hAnsi="Calibri"/>
                <w:i/>
              </w:rPr>
              <w:t>NOTE:  This course is offered in a hybrid format, which means that students will fulfill part of their obligations on line.  Rather than meet weekly for 2 ½ hours, class will be held for 2 hours weekly. In addition, students will work on line to avoid necessitating a make-up date for Columbus Day, Monday, October 13</w:t>
            </w:r>
            <w:r w:rsidRPr="000204D6">
              <w:rPr>
                <w:rFonts w:ascii="Calibri" w:hAnsi="Calibri"/>
                <w:i/>
                <w:vertAlign w:val="superscript"/>
              </w:rPr>
              <w:t>th</w:t>
            </w:r>
            <w:r w:rsidRPr="000204D6">
              <w:rPr>
                <w:rFonts w:ascii="Calibri" w:hAnsi="Calibri"/>
                <w:i/>
              </w:rPr>
              <w:t xml:space="preserve">.  </w:t>
            </w:r>
          </w:p>
          <w:p w14:paraId="505EC506" w14:textId="77777777" w:rsidR="00F87A55" w:rsidRPr="00126316" w:rsidRDefault="00F87A55" w:rsidP="00F87A55">
            <w:pPr>
              <w:ind w:left="360"/>
              <w:rPr>
                <w:rFonts w:ascii="Calibri" w:hAnsi="Calibri"/>
              </w:rPr>
            </w:pPr>
          </w:p>
          <w:p w14:paraId="5EB95CB5" w14:textId="77777777" w:rsidR="00F87A55" w:rsidRPr="00126316" w:rsidRDefault="00F87A55" w:rsidP="00F87A5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26316">
              <w:rPr>
                <w:rFonts w:ascii="Calibri" w:hAnsi="Calibri"/>
              </w:rPr>
              <w:t xml:space="preserve">Students will </w:t>
            </w:r>
            <w:r>
              <w:rPr>
                <w:rFonts w:ascii="Calibri" w:hAnsi="Calibri"/>
              </w:rPr>
              <w:t xml:space="preserve">work collaboratively to review an article in class on Day 2.  They will also </w:t>
            </w:r>
            <w:r w:rsidRPr="00126316">
              <w:rPr>
                <w:rFonts w:ascii="Calibri" w:hAnsi="Calibri"/>
              </w:rPr>
              <w:t xml:space="preserve">participate in an on-line discussion group to critique articles pertaining to reading </w:t>
            </w:r>
            <w:r>
              <w:rPr>
                <w:rFonts w:ascii="Calibri" w:hAnsi="Calibri"/>
              </w:rPr>
              <w:t xml:space="preserve">comprehension </w:t>
            </w:r>
            <w:r w:rsidRPr="00126316">
              <w:rPr>
                <w:rFonts w:ascii="Calibri" w:hAnsi="Calibri"/>
              </w:rPr>
              <w:t xml:space="preserve">instruction.  Details of this assignment will be given in class.  On-line topics will </w:t>
            </w:r>
            <w:r w:rsidRPr="00126316">
              <w:rPr>
                <w:rFonts w:ascii="Calibri" w:hAnsi="Calibri"/>
              </w:rPr>
              <w:lastRenderedPageBreak/>
              <w:t xml:space="preserve">be posted every </w:t>
            </w:r>
            <w:r>
              <w:rPr>
                <w:rFonts w:ascii="Calibri" w:hAnsi="Calibri"/>
              </w:rPr>
              <w:t>four</w:t>
            </w:r>
            <w:r w:rsidRPr="00126316">
              <w:rPr>
                <w:rFonts w:ascii="Calibri" w:hAnsi="Calibri"/>
              </w:rPr>
              <w:t xml:space="preserve"> weeks.</w:t>
            </w:r>
          </w:p>
          <w:p w14:paraId="08266A51" w14:textId="77777777" w:rsidR="00F87A55" w:rsidRDefault="00F87A55" w:rsidP="00F87A55">
            <w:pPr>
              <w:spacing w:line="120" w:lineRule="auto"/>
              <w:rPr>
                <w:rFonts w:ascii="Calibri" w:hAnsi="Calibri"/>
              </w:rPr>
            </w:pPr>
          </w:p>
          <w:p w14:paraId="44C961BE" w14:textId="77777777" w:rsidR="00F87A55" w:rsidRPr="00126316" w:rsidRDefault="00F87A55" w:rsidP="00F87A5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analyze the readability and level of two popular texts appropriate for 3</w:t>
            </w:r>
            <w:r w:rsidRPr="00883B5E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– 12</w:t>
            </w:r>
            <w:r w:rsidRPr="00883B5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graders. They will use multiple methods and compare their findings.</w:t>
            </w:r>
            <w:r w:rsidRPr="00126316">
              <w:rPr>
                <w:rFonts w:ascii="Calibri" w:hAnsi="Calibri"/>
              </w:rPr>
              <w:t xml:space="preserve">  Details of this assignment will be discussed in class.  The assignment will be due on Monday, </w:t>
            </w:r>
            <w:r>
              <w:rPr>
                <w:rFonts w:ascii="Calibri" w:hAnsi="Calibri"/>
              </w:rPr>
              <w:t>Septem</w:t>
            </w:r>
            <w:r w:rsidRPr="00126316">
              <w:rPr>
                <w:rFonts w:ascii="Calibri" w:hAnsi="Calibri"/>
              </w:rPr>
              <w:t>ber 2</w:t>
            </w:r>
            <w:r>
              <w:rPr>
                <w:rFonts w:ascii="Calibri" w:hAnsi="Calibri"/>
              </w:rPr>
              <w:t>9</w:t>
            </w:r>
            <w:r w:rsidRPr="00126316">
              <w:rPr>
                <w:rFonts w:ascii="Calibri" w:hAnsi="Calibri"/>
                <w:vertAlign w:val="superscript"/>
              </w:rPr>
              <w:t>st</w:t>
            </w:r>
            <w:r w:rsidRPr="00126316">
              <w:rPr>
                <w:rFonts w:ascii="Calibri" w:hAnsi="Calibri"/>
              </w:rPr>
              <w:t xml:space="preserve">. </w:t>
            </w:r>
          </w:p>
          <w:p w14:paraId="7CB79853" w14:textId="77777777" w:rsidR="00F87A55" w:rsidRPr="00126316" w:rsidRDefault="00F87A55" w:rsidP="00F87A55">
            <w:pPr>
              <w:spacing w:line="120" w:lineRule="auto"/>
              <w:rPr>
                <w:rFonts w:ascii="Calibri" w:hAnsi="Calibri"/>
              </w:rPr>
            </w:pPr>
          </w:p>
          <w:p w14:paraId="2A5BB458" w14:textId="77777777" w:rsidR="00F87A55" w:rsidRPr="00126316" w:rsidRDefault="00F87A55" w:rsidP="00F87A5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will create a lesson plan for reading an illustrated children’s book aloud to a class, including a lesson on one or more aspects of author’s craft.</w:t>
            </w:r>
            <w:r w:rsidRPr="00126316">
              <w:rPr>
                <w:rFonts w:ascii="Calibri" w:hAnsi="Calibri"/>
              </w:rPr>
              <w:t xml:space="preserve">  Details of this assignment will be discussed in class.  The assignment will be due on Monday, October 2</w:t>
            </w:r>
            <w:r>
              <w:rPr>
                <w:rFonts w:ascii="Calibri" w:hAnsi="Calibri"/>
              </w:rPr>
              <w:t>0</w:t>
            </w:r>
            <w:r w:rsidRPr="0095073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>.</w:t>
            </w:r>
            <w:r w:rsidRPr="00126316">
              <w:rPr>
                <w:rFonts w:ascii="Calibri" w:hAnsi="Calibri"/>
              </w:rPr>
              <w:t xml:space="preserve"> </w:t>
            </w:r>
          </w:p>
          <w:p w14:paraId="1B22681E" w14:textId="77777777" w:rsidR="00F87A55" w:rsidRPr="00126316" w:rsidRDefault="00F87A55" w:rsidP="00F87A55">
            <w:pPr>
              <w:spacing w:line="120" w:lineRule="auto"/>
              <w:rPr>
                <w:rFonts w:ascii="Calibri" w:hAnsi="Calibri"/>
              </w:rPr>
            </w:pPr>
          </w:p>
          <w:p w14:paraId="1200F9B4" w14:textId="77777777" w:rsidR="00F87A55" w:rsidRPr="00126316" w:rsidRDefault="00F87A55" w:rsidP="00F87A55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26316">
              <w:rPr>
                <w:rFonts w:ascii="Calibri" w:hAnsi="Calibri"/>
              </w:rPr>
              <w:t xml:space="preserve">Students will </w:t>
            </w:r>
            <w:r>
              <w:rPr>
                <w:rFonts w:ascii="Calibri" w:hAnsi="Calibri"/>
              </w:rPr>
              <w:t>select two poems, two speeches, or one poem and one speech appropriate for 3</w:t>
            </w:r>
            <w:r w:rsidRPr="00883B5E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– 12</w:t>
            </w:r>
            <w:r w:rsidRPr="00883B5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graders and </w:t>
            </w:r>
            <w:r w:rsidRPr="00126316">
              <w:rPr>
                <w:rFonts w:ascii="Calibri" w:hAnsi="Calibri"/>
              </w:rPr>
              <w:t xml:space="preserve">create a </w:t>
            </w:r>
            <w:proofErr w:type="gramStart"/>
            <w:r>
              <w:rPr>
                <w:rFonts w:ascii="Calibri" w:hAnsi="Calibri"/>
              </w:rPr>
              <w:t xml:space="preserve">close </w:t>
            </w:r>
            <w:r w:rsidRPr="00126316">
              <w:rPr>
                <w:rFonts w:ascii="Calibri" w:hAnsi="Calibri"/>
              </w:rPr>
              <w:t xml:space="preserve"> reading</w:t>
            </w:r>
            <w:proofErr w:type="gramEnd"/>
            <w:r w:rsidRPr="00126316">
              <w:rPr>
                <w:rFonts w:ascii="Calibri" w:hAnsi="Calibri"/>
              </w:rPr>
              <w:t xml:space="preserve"> lesson plan.  Details of this assignment will be given in class.  This assignment will be due on Monday, November 1</w:t>
            </w:r>
            <w:r>
              <w:rPr>
                <w:rFonts w:ascii="Calibri" w:hAnsi="Calibri"/>
              </w:rPr>
              <w:t>0</w:t>
            </w:r>
            <w:r w:rsidRPr="00126316">
              <w:rPr>
                <w:rFonts w:ascii="Calibri" w:hAnsi="Calibri"/>
                <w:vertAlign w:val="superscript"/>
              </w:rPr>
              <w:t>th</w:t>
            </w:r>
            <w:r w:rsidRPr="00126316">
              <w:rPr>
                <w:rFonts w:ascii="Calibri" w:hAnsi="Calibri"/>
              </w:rPr>
              <w:t xml:space="preserve">. </w:t>
            </w:r>
          </w:p>
          <w:p w14:paraId="4A7827B6" w14:textId="77777777" w:rsidR="00F87A55" w:rsidRPr="00126316" w:rsidRDefault="00F87A55" w:rsidP="00F87A55">
            <w:pPr>
              <w:spacing w:line="120" w:lineRule="auto"/>
              <w:rPr>
                <w:rFonts w:ascii="Calibri" w:hAnsi="Calibri"/>
              </w:rPr>
            </w:pPr>
          </w:p>
          <w:p w14:paraId="7E98493B" w14:textId="77777777" w:rsidR="00F87A55" w:rsidRPr="00126316" w:rsidRDefault="00F87A55" w:rsidP="00F87A55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</w:rPr>
              <w:t>S</w:t>
            </w:r>
            <w:r w:rsidRPr="00C464CF">
              <w:rPr>
                <w:rFonts w:ascii="Calibri" w:hAnsi="Calibri"/>
                <w:sz w:val="20"/>
              </w:rPr>
              <w:t xml:space="preserve">tudents will select a </w:t>
            </w:r>
            <w:r>
              <w:rPr>
                <w:rFonts w:ascii="Calibri" w:hAnsi="Calibri"/>
                <w:sz w:val="20"/>
              </w:rPr>
              <w:t>novel</w:t>
            </w:r>
            <w:r w:rsidRPr="00C464CF">
              <w:rPr>
                <w:rFonts w:ascii="Calibri" w:hAnsi="Calibri"/>
                <w:sz w:val="20"/>
              </w:rPr>
              <w:t xml:space="preserve"> appropriate for 3</w:t>
            </w:r>
            <w:r w:rsidRPr="00C464CF">
              <w:rPr>
                <w:rFonts w:ascii="Calibri" w:hAnsi="Calibri"/>
                <w:sz w:val="20"/>
                <w:vertAlign w:val="superscript"/>
              </w:rPr>
              <w:t>rd</w:t>
            </w:r>
            <w:r w:rsidRPr="00C464CF">
              <w:rPr>
                <w:rFonts w:ascii="Calibri" w:hAnsi="Calibri"/>
                <w:sz w:val="20"/>
              </w:rPr>
              <w:t xml:space="preserve"> – 12</w:t>
            </w:r>
            <w:r w:rsidRPr="00C464CF">
              <w:rPr>
                <w:rFonts w:ascii="Calibri" w:hAnsi="Calibri"/>
                <w:sz w:val="20"/>
                <w:vertAlign w:val="superscript"/>
              </w:rPr>
              <w:t>th</w:t>
            </w:r>
            <w:r w:rsidRPr="00C464CF">
              <w:rPr>
                <w:rFonts w:ascii="Calibri" w:hAnsi="Calibri"/>
                <w:sz w:val="20"/>
              </w:rPr>
              <w:t xml:space="preserve"> graders and create </w:t>
            </w:r>
            <w:r>
              <w:rPr>
                <w:rFonts w:ascii="Calibri" w:hAnsi="Calibri"/>
                <w:sz w:val="20"/>
              </w:rPr>
              <w:t>a unit plan for its use</w:t>
            </w:r>
            <w:r w:rsidRPr="00C464CF">
              <w:rPr>
                <w:rFonts w:ascii="Calibri" w:hAnsi="Calibri"/>
                <w:sz w:val="20"/>
              </w:rPr>
              <w:t xml:space="preserve">.  </w:t>
            </w:r>
            <w:r>
              <w:rPr>
                <w:rFonts w:ascii="Calibri" w:hAnsi="Calibri"/>
                <w:sz w:val="20"/>
              </w:rPr>
              <w:t xml:space="preserve">Plans will include an outline of instruction for chapters at the beginning, middle and end of the book.  </w:t>
            </w:r>
            <w:r w:rsidRPr="00C464CF">
              <w:rPr>
                <w:rFonts w:ascii="Calibri" w:hAnsi="Calibri"/>
                <w:sz w:val="20"/>
              </w:rPr>
              <w:t xml:space="preserve">Details of this assignment will be given in class.  This assignment will be due on Monday, </w:t>
            </w:r>
            <w:r>
              <w:rPr>
                <w:rFonts w:ascii="Calibri" w:hAnsi="Calibri"/>
                <w:sz w:val="20"/>
              </w:rPr>
              <w:t>December 1</w:t>
            </w:r>
            <w:r w:rsidRPr="00950733">
              <w:rPr>
                <w:rFonts w:ascii="Calibri" w:hAnsi="Calibri"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</w:rPr>
              <w:t>.</w:t>
            </w:r>
          </w:p>
          <w:p w14:paraId="333E4DA7" w14:textId="77777777" w:rsidR="00F87A55" w:rsidRPr="00126316" w:rsidRDefault="00F87A55" w:rsidP="00F87A55">
            <w:pPr>
              <w:spacing w:line="120" w:lineRule="auto"/>
              <w:rPr>
                <w:rFonts w:ascii="Calibri" w:hAnsi="Calibri"/>
              </w:rPr>
            </w:pPr>
          </w:p>
          <w:p w14:paraId="7835C4D3" w14:textId="77777777" w:rsidR="00F87A55" w:rsidRPr="00126316" w:rsidRDefault="00F87A55" w:rsidP="00F87A55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 xml:space="preserve">Students will </w:t>
            </w:r>
            <w:r>
              <w:rPr>
                <w:rFonts w:ascii="Calibri" w:hAnsi="Calibri"/>
                <w:sz w:val="20"/>
              </w:rPr>
              <w:t>participate in a panel discussion on the Common Core addressing its impact on curriculum choices and state testing</w:t>
            </w:r>
            <w:r w:rsidRPr="00126316">
              <w:rPr>
                <w:rFonts w:ascii="Calibri" w:hAnsi="Calibri"/>
                <w:sz w:val="20"/>
              </w:rPr>
              <w:t xml:space="preserve">.  </w:t>
            </w:r>
            <w:r>
              <w:rPr>
                <w:rFonts w:ascii="Calibri" w:hAnsi="Calibri"/>
                <w:sz w:val="20"/>
              </w:rPr>
              <w:t>Roles and articles will be assigned</w:t>
            </w:r>
            <w:r w:rsidRPr="00126316">
              <w:rPr>
                <w:rFonts w:ascii="Calibri" w:hAnsi="Calibri"/>
                <w:sz w:val="20"/>
              </w:rPr>
              <w:t xml:space="preserve"> to students ahead of time.  The </w:t>
            </w:r>
            <w:r>
              <w:rPr>
                <w:rFonts w:ascii="Calibri" w:hAnsi="Calibri"/>
                <w:sz w:val="20"/>
              </w:rPr>
              <w:t xml:space="preserve">panel discussion will be held in class </w:t>
            </w:r>
            <w:proofErr w:type="gramStart"/>
            <w:r>
              <w:rPr>
                <w:rFonts w:ascii="Calibri" w:hAnsi="Calibri"/>
                <w:sz w:val="20"/>
              </w:rPr>
              <w:t xml:space="preserve">on </w:t>
            </w:r>
            <w:r w:rsidRPr="00126316">
              <w:rPr>
                <w:rFonts w:ascii="Calibri" w:hAnsi="Calibri"/>
              </w:rPr>
              <w:t xml:space="preserve"> </w:t>
            </w:r>
            <w:r w:rsidRPr="00126316">
              <w:rPr>
                <w:rFonts w:ascii="Calibri" w:hAnsi="Calibri"/>
                <w:sz w:val="20"/>
              </w:rPr>
              <w:t>Monday</w:t>
            </w:r>
            <w:proofErr w:type="gramEnd"/>
            <w:r w:rsidRPr="00126316">
              <w:rPr>
                <w:rFonts w:ascii="Calibri" w:hAnsi="Calibri"/>
              </w:rPr>
              <w:t xml:space="preserve">, </w:t>
            </w:r>
            <w:r w:rsidRPr="00126316">
              <w:rPr>
                <w:rFonts w:ascii="Calibri" w:hAnsi="Calibri"/>
                <w:sz w:val="20"/>
              </w:rPr>
              <w:t>December 1</w:t>
            </w:r>
            <w:r>
              <w:rPr>
                <w:rFonts w:ascii="Calibri" w:hAnsi="Calibri"/>
                <w:sz w:val="20"/>
              </w:rPr>
              <w:t>5</w:t>
            </w:r>
            <w:r w:rsidRPr="00126316">
              <w:rPr>
                <w:rFonts w:ascii="Calibri" w:hAnsi="Calibri"/>
                <w:sz w:val="20"/>
                <w:vertAlign w:val="superscript"/>
              </w:rPr>
              <w:t>th</w:t>
            </w:r>
            <w:r w:rsidRPr="00126316">
              <w:rPr>
                <w:rFonts w:ascii="Calibri" w:hAnsi="Calibri"/>
                <w:sz w:val="20"/>
              </w:rPr>
              <w:t xml:space="preserve"> .</w:t>
            </w:r>
          </w:p>
          <w:p w14:paraId="7B20E67B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836F4A5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F543070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BD31200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B66779E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507DEA3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F4DEF8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21A9C13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1E23F6C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FA7E6C1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74C66C3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90F0900" w14:textId="77777777" w:rsidR="00540DC1" w:rsidRPr="00851046" w:rsidRDefault="00540DC1" w:rsidP="0085104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40DC1" w:rsidRPr="00851046" w14:paraId="3A37CEED" w14:textId="77777777">
        <w:trPr>
          <w:trHeight w:val="404"/>
        </w:trPr>
        <w:tc>
          <w:tcPr>
            <w:tcW w:w="9576" w:type="dxa"/>
            <w:shd w:val="clear" w:color="auto" w:fill="DBE5F1" w:themeFill="accent1" w:themeFillTint="33"/>
          </w:tcPr>
          <w:p w14:paraId="26BCF60B" w14:textId="30F11CFD" w:rsidR="00540DC1" w:rsidRPr="00851046" w:rsidRDefault="00540DC1" w:rsidP="008433C6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851046">
              <w:rPr>
                <w:rFonts w:ascii="Lucida Grande" w:hAnsi="Lucida Grande" w:cs="Lucida Grande"/>
                <w:sz w:val="24"/>
                <w:szCs w:val="24"/>
              </w:rPr>
              <w:lastRenderedPageBreak/>
              <w:t>ASSESSMENT</w:t>
            </w:r>
            <w:r w:rsidR="008433C6">
              <w:rPr>
                <w:rFonts w:ascii="Lucida Grande" w:hAnsi="Lucida Grande" w:cs="Lucida Grande"/>
                <w:sz w:val="24"/>
                <w:szCs w:val="24"/>
              </w:rPr>
              <w:t xml:space="preserve">/Summative Grading </w:t>
            </w:r>
          </w:p>
        </w:tc>
      </w:tr>
      <w:tr w:rsidR="00540DC1" w:rsidRPr="00851046" w14:paraId="11A9C11C" w14:textId="77777777">
        <w:trPr>
          <w:trHeight w:val="4283"/>
        </w:trPr>
        <w:tc>
          <w:tcPr>
            <w:tcW w:w="9576" w:type="dxa"/>
          </w:tcPr>
          <w:p w14:paraId="0A0A31A8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A12558B" w14:textId="77777777" w:rsidR="00CF5D9E" w:rsidRPr="00126316" w:rsidRDefault="00CF5D9E" w:rsidP="00CF5D9E">
            <w:pPr>
              <w:pStyle w:val="Heading2"/>
              <w:spacing w:line="240" w:lineRule="auto"/>
              <w:outlineLvl w:val="1"/>
              <w:rPr>
                <w:rFonts w:ascii="Calibri" w:hAnsi="Calibri"/>
                <w:sz w:val="22"/>
              </w:rPr>
            </w:pPr>
            <w:r w:rsidRPr="00126316">
              <w:rPr>
                <w:rFonts w:ascii="Calibri" w:hAnsi="Calibri"/>
                <w:sz w:val="22"/>
              </w:rPr>
              <w:t xml:space="preserve">Grading </w:t>
            </w:r>
          </w:p>
          <w:p w14:paraId="1C686D8C" w14:textId="77777777" w:rsidR="00CF5D9E" w:rsidRPr="00126316" w:rsidRDefault="00CF5D9E" w:rsidP="00CF5D9E">
            <w:pPr>
              <w:pStyle w:val="BodyTextIndent"/>
              <w:ind w:firstLine="36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Grading will be determined by procedures in the Graduate School catalog.  More specific explanations accompany each assignment.  Weightings of assignments are as follows:</w:t>
            </w:r>
          </w:p>
          <w:p w14:paraId="6D3F423D" w14:textId="77777777" w:rsidR="00CF5D9E" w:rsidRPr="00126316" w:rsidRDefault="00CF5D9E" w:rsidP="00CF5D9E">
            <w:pPr>
              <w:pStyle w:val="BodyTextIndent"/>
              <w:rPr>
                <w:rFonts w:ascii="Calibri" w:hAnsi="Calibri"/>
                <w:sz w:val="20"/>
              </w:rPr>
            </w:pPr>
          </w:p>
          <w:p w14:paraId="2EDD08B6" w14:textId="77777777" w:rsidR="00CF5D9E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 xml:space="preserve">Assignment #1:  </w:t>
            </w:r>
            <w:r>
              <w:rPr>
                <w:rFonts w:ascii="Calibri" w:hAnsi="Calibri"/>
                <w:sz w:val="20"/>
              </w:rPr>
              <w:t>Article Critiques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20</w:t>
            </w:r>
            <w:r w:rsidRPr="00126316">
              <w:rPr>
                <w:rFonts w:ascii="Calibri" w:hAnsi="Calibri"/>
                <w:sz w:val="20"/>
              </w:rPr>
              <w:t>%</w:t>
            </w:r>
          </w:p>
          <w:p w14:paraId="70A3ECFB" w14:textId="77777777" w:rsidR="00CF5D9E" w:rsidRPr="00126316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Assignment #</w:t>
            </w:r>
            <w:r>
              <w:rPr>
                <w:rFonts w:ascii="Calibri" w:hAnsi="Calibri"/>
                <w:sz w:val="20"/>
              </w:rPr>
              <w:t>2</w:t>
            </w:r>
            <w:r w:rsidRPr="0012631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Analyzing Text Difficulty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10</w:t>
            </w:r>
            <w:r w:rsidRPr="00126316">
              <w:rPr>
                <w:rFonts w:ascii="Calibri" w:hAnsi="Calibri"/>
                <w:sz w:val="20"/>
              </w:rPr>
              <w:t>%</w:t>
            </w:r>
          </w:p>
          <w:p w14:paraId="5BC7423B" w14:textId="77777777" w:rsidR="00CF5D9E" w:rsidRPr="00783BE8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Assignment #</w:t>
            </w:r>
            <w:r>
              <w:rPr>
                <w:rFonts w:ascii="Calibri" w:hAnsi="Calibri"/>
                <w:sz w:val="20"/>
              </w:rPr>
              <w:t>3</w:t>
            </w:r>
            <w:r w:rsidRPr="0012631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Enhancing a Read-Aloud Experience</w:t>
            </w:r>
            <w:r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15%</w:t>
            </w:r>
          </w:p>
          <w:p w14:paraId="0644C4C1" w14:textId="77777777" w:rsidR="00CF5D9E" w:rsidRPr="00126316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Assignment #</w:t>
            </w:r>
            <w:r>
              <w:rPr>
                <w:rFonts w:ascii="Calibri" w:hAnsi="Calibri"/>
                <w:sz w:val="20"/>
              </w:rPr>
              <w:t>4</w:t>
            </w:r>
            <w:r w:rsidRPr="0012631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Creating a Close Reading Lesson Plan Using Poetry</w:t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15</w:t>
            </w:r>
            <w:r w:rsidRPr="00126316">
              <w:rPr>
                <w:rFonts w:ascii="Calibri" w:hAnsi="Calibri"/>
                <w:sz w:val="20"/>
              </w:rPr>
              <w:t>%</w:t>
            </w:r>
          </w:p>
          <w:p w14:paraId="173CC222" w14:textId="77777777" w:rsidR="00CF5D9E" w:rsidRPr="003A3006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Assignment #</w:t>
            </w:r>
            <w:r>
              <w:rPr>
                <w:rFonts w:ascii="Calibri" w:hAnsi="Calibri"/>
                <w:sz w:val="20"/>
              </w:rPr>
              <w:t>5</w:t>
            </w:r>
            <w:r w:rsidRPr="0012631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Creating an Unit Plan for a Novel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30</w:t>
            </w:r>
            <w:r w:rsidRPr="00126316">
              <w:rPr>
                <w:rFonts w:ascii="Calibri" w:hAnsi="Calibri"/>
                <w:sz w:val="20"/>
              </w:rPr>
              <w:t>%</w:t>
            </w:r>
          </w:p>
          <w:p w14:paraId="10F057AA" w14:textId="77777777" w:rsidR="00CF5D9E" w:rsidRPr="00126316" w:rsidRDefault="00CF5D9E" w:rsidP="00CF5D9E">
            <w:pPr>
              <w:pStyle w:val="BodyTextIndent"/>
              <w:numPr>
                <w:ilvl w:val="0"/>
                <w:numId w:val="14"/>
              </w:numPr>
              <w:spacing w:after="0"/>
              <w:rPr>
                <w:rFonts w:ascii="Calibri" w:hAnsi="Calibri"/>
                <w:sz w:val="20"/>
              </w:rPr>
            </w:pPr>
            <w:r w:rsidRPr="00126316">
              <w:rPr>
                <w:rFonts w:ascii="Calibri" w:hAnsi="Calibri"/>
                <w:sz w:val="20"/>
              </w:rPr>
              <w:t>Assignment #</w:t>
            </w:r>
            <w:r>
              <w:rPr>
                <w:rFonts w:ascii="Calibri" w:hAnsi="Calibri"/>
                <w:sz w:val="20"/>
              </w:rPr>
              <w:t>6</w:t>
            </w:r>
            <w:r w:rsidRPr="0012631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In-Class Panel Discussion of the Common Core</w:t>
            </w:r>
            <w:r w:rsidRPr="00126316">
              <w:rPr>
                <w:rFonts w:ascii="Calibri" w:hAnsi="Calibri"/>
                <w:sz w:val="20"/>
              </w:rPr>
              <w:tab/>
            </w:r>
            <w:r w:rsidRPr="00126316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10</w:t>
            </w:r>
            <w:r w:rsidRPr="00126316">
              <w:rPr>
                <w:rFonts w:ascii="Calibri" w:hAnsi="Calibri"/>
                <w:sz w:val="20"/>
              </w:rPr>
              <w:t>%</w:t>
            </w:r>
          </w:p>
          <w:p w14:paraId="441FA3D7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CDD5696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733BD3B" w14:textId="5D5E96C9" w:rsidR="00540DC1" w:rsidRPr="00851046" w:rsidRDefault="00112C87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hyperlink r:id="rId9" w:history="1">
              <w:r w:rsidR="004B0E13" w:rsidRPr="004B0E13">
                <w:rPr>
                  <w:rStyle w:val="Hyperlink"/>
                  <w:rFonts w:ascii="Lucida Grande" w:hAnsi="Lucida Grande" w:cs="Lucida Grande"/>
                  <w:sz w:val="24"/>
                  <w:szCs w:val="24"/>
                </w:rPr>
                <w:t>LINK TO GUIDELINES/ RUBRICS for EACH ASSIGNMENT</w:t>
              </w:r>
            </w:hyperlink>
            <w:r w:rsidR="004B0E13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26EF576D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6F9C604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72E63FD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9BEC743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EF33FA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40DC1" w:rsidRPr="00851046" w14:paraId="23B3247A" w14:textId="77777777">
        <w:trPr>
          <w:trHeight w:val="377"/>
        </w:trPr>
        <w:tc>
          <w:tcPr>
            <w:tcW w:w="9576" w:type="dxa"/>
            <w:shd w:val="clear" w:color="auto" w:fill="DBE5F1" w:themeFill="accent1" w:themeFillTint="33"/>
          </w:tcPr>
          <w:p w14:paraId="386206FF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>Vocabulary: Professional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 xml:space="preserve"> TERMS </w:t>
            </w:r>
          </w:p>
        </w:tc>
      </w:tr>
      <w:tr w:rsidR="00540DC1" w:rsidRPr="00851046" w14:paraId="6E9E4FE4" w14:textId="77777777">
        <w:trPr>
          <w:trHeight w:val="3050"/>
        </w:trPr>
        <w:tc>
          <w:tcPr>
            <w:tcW w:w="9576" w:type="dxa"/>
            <w:shd w:val="clear" w:color="auto" w:fill="auto"/>
          </w:tcPr>
          <w:p w14:paraId="2A8B2CDF" w14:textId="69D7D95E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845249B" w14:textId="167B4E63" w:rsidR="00540DC1" w:rsidRDefault="004B0E13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proofErr w:type="gramStart"/>
            <w:r>
              <w:rPr>
                <w:rFonts w:ascii="Lucida Grande" w:hAnsi="Lucida Grande" w:cs="Lucida Grande"/>
                <w:sz w:val="24"/>
                <w:szCs w:val="24"/>
              </w:rPr>
              <w:t>decoding</w:t>
            </w:r>
            <w:proofErr w:type="gramEnd"/>
          </w:p>
          <w:p w14:paraId="137AF4B9" w14:textId="6F0B1EFE" w:rsidR="004B0E13" w:rsidRDefault="004B0E13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proofErr w:type="gramStart"/>
            <w:r>
              <w:rPr>
                <w:rFonts w:ascii="Lucida Grande" w:hAnsi="Lucida Grande" w:cs="Lucida Grande"/>
                <w:sz w:val="24"/>
                <w:szCs w:val="24"/>
              </w:rPr>
              <w:t>phoneme</w:t>
            </w:r>
            <w:proofErr w:type="gramEnd"/>
          </w:p>
          <w:p w14:paraId="10CB7F1B" w14:textId="18B0E28C" w:rsidR="004B0E13" w:rsidRPr="00851046" w:rsidRDefault="004B0E13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ucida Grande" w:hAnsi="Lucida Grande" w:cs="Lucida Grande"/>
                <w:sz w:val="24"/>
                <w:szCs w:val="24"/>
              </w:rPr>
              <w:t>lexile</w:t>
            </w:r>
            <w:proofErr w:type="spellEnd"/>
            <w:proofErr w:type="gramEnd"/>
            <w:r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4F9A0D9F" w14:textId="54EFDA78" w:rsidR="00540DC1" w:rsidRPr="00851046" w:rsidRDefault="004B0E13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proofErr w:type="gramStart"/>
            <w:r>
              <w:rPr>
                <w:rFonts w:ascii="Lucida Grande" w:hAnsi="Lucida Grande" w:cs="Lucida Grande"/>
                <w:sz w:val="24"/>
                <w:szCs w:val="24"/>
              </w:rPr>
              <w:t>fluency</w:t>
            </w:r>
            <w:proofErr w:type="gramEnd"/>
            <w:r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64097942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A7DB36A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58CC91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0AC8F1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6FA834F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38C1D48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14C13BE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40DC1" w:rsidRPr="00851046" w14:paraId="2288C040" w14:textId="77777777">
        <w:trPr>
          <w:trHeight w:val="359"/>
        </w:trPr>
        <w:tc>
          <w:tcPr>
            <w:tcW w:w="9576" w:type="dxa"/>
            <w:shd w:val="clear" w:color="auto" w:fill="DBE5F1" w:themeFill="accent1" w:themeFillTint="33"/>
          </w:tcPr>
          <w:p w14:paraId="4A6BBEEF" w14:textId="5A9BDA41" w:rsidR="00540DC1" w:rsidRPr="00851046" w:rsidRDefault="000B4AEC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t xml:space="preserve">Learning Plan through Course / Student Focus </w:t>
            </w:r>
          </w:p>
        </w:tc>
      </w:tr>
      <w:tr w:rsidR="00540DC1" w:rsidRPr="00851046" w14:paraId="3941F64C" w14:textId="77777777">
        <w:tc>
          <w:tcPr>
            <w:tcW w:w="9576" w:type="dxa"/>
          </w:tcPr>
          <w:p w14:paraId="0EFCA92D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3244AB9" w14:textId="77777777" w:rsidR="00B45124" w:rsidRPr="00CF5D9E" w:rsidRDefault="00B45124" w:rsidP="00B45124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CF5D9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Close Reading </w:t>
            </w:r>
          </w:p>
          <w:p w14:paraId="0253963E" w14:textId="77777777" w:rsidR="00B45124" w:rsidRPr="00CF5D9E" w:rsidRDefault="00B45124" w:rsidP="00B451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CF5D9E">
              <w:rPr>
                <w:rFonts w:ascii="Calibri" w:hAnsi="Calibri"/>
              </w:rPr>
              <w:t xml:space="preserve">Boyles, N. (2012/2013). Closing in on close reading. </w:t>
            </w:r>
            <w:r w:rsidRPr="00CF5D9E">
              <w:rPr>
                <w:rFonts w:ascii="Calibri" w:hAnsi="Calibri"/>
                <w:i/>
                <w:iCs/>
              </w:rPr>
              <w:t>Educational Leadership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F5D9E">
              <w:rPr>
                <w:rFonts w:ascii="Calibri" w:hAnsi="Calibri"/>
                <w:i/>
                <w:iCs/>
              </w:rPr>
              <w:t xml:space="preserve">, </w:t>
            </w:r>
            <w:r w:rsidRPr="00CF5D9E">
              <w:rPr>
                <w:rFonts w:ascii="Calibri" w:hAnsi="Calibri"/>
              </w:rPr>
              <w:t xml:space="preserve"> 36</w:t>
            </w:r>
            <w:proofErr w:type="gramEnd"/>
            <w:r w:rsidRPr="00CF5D9E">
              <w:rPr>
                <w:rFonts w:ascii="Calibri" w:hAnsi="Calibri"/>
              </w:rPr>
              <w:t>-41.</w:t>
            </w:r>
          </w:p>
          <w:p w14:paraId="5BB785BD" w14:textId="77777777" w:rsidR="00B45124" w:rsidRDefault="00B45124" w:rsidP="00B45124">
            <w:pPr>
              <w:pStyle w:val="ListParagraph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14:paraId="2A928CDD" w14:textId="77777777" w:rsidR="00B45124" w:rsidRPr="00CF5D9E" w:rsidRDefault="00B45124" w:rsidP="00B45124">
            <w:pPr>
              <w:rPr>
                <w:rFonts w:ascii="Calibri" w:hAnsi="Calibri"/>
                <w:b/>
              </w:rPr>
            </w:pPr>
            <w:r w:rsidRPr="00CF5D9E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Vocabulary instruction </w:t>
            </w:r>
          </w:p>
          <w:p w14:paraId="5332C5AA" w14:textId="77777777" w:rsidR="00B45124" w:rsidRDefault="00B45124" w:rsidP="00B451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02EAF">
              <w:rPr>
                <w:rFonts w:ascii="Calibri" w:hAnsi="Calibri"/>
              </w:rPr>
              <w:t>Kindle, K. J. (2009). Vocabulary development during read-</w:t>
            </w:r>
            <w:proofErr w:type="spellStart"/>
            <w:r w:rsidRPr="00002EAF">
              <w:rPr>
                <w:rFonts w:ascii="Calibri" w:hAnsi="Calibri"/>
              </w:rPr>
              <w:t>alouds</w:t>
            </w:r>
            <w:proofErr w:type="spellEnd"/>
            <w:r w:rsidRPr="00002EAF">
              <w:rPr>
                <w:rFonts w:ascii="Calibri" w:hAnsi="Calibri"/>
              </w:rPr>
              <w:t xml:space="preserve">:  Primary practice.  </w:t>
            </w:r>
            <w:r w:rsidRPr="00002EAF">
              <w:rPr>
                <w:rFonts w:ascii="Calibri" w:hAnsi="Calibri"/>
                <w:i/>
                <w:iCs/>
              </w:rPr>
              <w:t>The Reading Teacher</w:t>
            </w:r>
            <w:r w:rsidRPr="00002EAF">
              <w:rPr>
                <w:rFonts w:ascii="Calibri" w:hAnsi="Calibri"/>
              </w:rPr>
              <w:t xml:space="preserve">, </w:t>
            </w:r>
            <w:r w:rsidRPr="00002EAF">
              <w:rPr>
                <w:rFonts w:ascii="Calibri" w:hAnsi="Calibri"/>
                <w:i/>
                <w:iCs/>
              </w:rPr>
              <w:t>63(3)</w:t>
            </w:r>
            <w:r w:rsidRPr="00002EAF">
              <w:rPr>
                <w:rFonts w:ascii="Calibri" w:hAnsi="Calibri"/>
              </w:rPr>
              <w:t xml:space="preserve">, 202-211.  </w:t>
            </w:r>
          </w:p>
          <w:p w14:paraId="5DD5DA41" w14:textId="77777777" w:rsidR="00B45124" w:rsidRDefault="00B45124" w:rsidP="00B451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proofErr w:type="spellStart"/>
            <w:r w:rsidRPr="00002EAF">
              <w:rPr>
                <w:rFonts w:ascii="Calibri" w:hAnsi="Calibri"/>
              </w:rPr>
              <w:t>Blachowicz</w:t>
            </w:r>
            <w:proofErr w:type="spellEnd"/>
            <w:r w:rsidRPr="00002EAF">
              <w:rPr>
                <w:rFonts w:ascii="Calibri" w:hAnsi="Calibri"/>
              </w:rPr>
              <w:t xml:space="preserve">, C. L. Z., &amp; Fisher, P. (2004). Vocabulary lessons. </w:t>
            </w:r>
            <w:r w:rsidRPr="00002EAF">
              <w:rPr>
                <w:rFonts w:ascii="Calibri" w:hAnsi="Calibri"/>
                <w:i/>
                <w:iCs/>
              </w:rPr>
              <w:t>Educational Leadership</w:t>
            </w:r>
            <w:r w:rsidRPr="00002EAF">
              <w:rPr>
                <w:rFonts w:ascii="Calibri" w:hAnsi="Calibri"/>
              </w:rPr>
              <w:t xml:space="preserve">, </w:t>
            </w:r>
            <w:r w:rsidRPr="00002EAF">
              <w:rPr>
                <w:rFonts w:ascii="Calibri" w:hAnsi="Calibri"/>
                <w:i/>
                <w:iCs/>
              </w:rPr>
              <w:t>61(6)</w:t>
            </w:r>
            <w:proofErr w:type="gramStart"/>
            <w:r w:rsidRPr="00002EAF">
              <w:rPr>
                <w:rFonts w:ascii="Calibri" w:hAnsi="Calibri"/>
                <w:i/>
                <w:iCs/>
              </w:rPr>
              <w:t xml:space="preserve">, </w:t>
            </w:r>
            <w:r w:rsidRPr="00002EAF">
              <w:rPr>
                <w:rFonts w:ascii="Calibri" w:hAnsi="Calibri"/>
              </w:rPr>
              <w:t xml:space="preserve"> 66</w:t>
            </w:r>
            <w:proofErr w:type="gramEnd"/>
            <w:r w:rsidRPr="00002EAF">
              <w:rPr>
                <w:rFonts w:ascii="Calibri" w:hAnsi="Calibri"/>
              </w:rPr>
              <w:t>-69.</w:t>
            </w:r>
          </w:p>
          <w:p w14:paraId="7022E519" w14:textId="77777777" w:rsidR="00B45124" w:rsidRPr="00002EAF" w:rsidRDefault="00B45124" w:rsidP="00B451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02EAF">
              <w:rPr>
                <w:rFonts w:ascii="Calibri" w:hAnsi="Calibri"/>
              </w:rPr>
              <w:t xml:space="preserve">Berne, J. I., &amp; </w:t>
            </w:r>
            <w:proofErr w:type="spellStart"/>
            <w:r w:rsidRPr="00002EAF">
              <w:rPr>
                <w:rFonts w:ascii="Calibri" w:hAnsi="Calibri"/>
              </w:rPr>
              <w:t>Blachowicz</w:t>
            </w:r>
            <w:proofErr w:type="spellEnd"/>
            <w:r w:rsidRPr="00002EAF">
              <w:rPr>
                <w:rFonts w:ascii="Calibri" w:hAnsi="Calibri"/>
              </w:rPr>
              <w:t xml:space="preserve">, C. L. Z. (2008). What reading teachers say about vocabulary instruction:  Voices from the classroom.  </w:t>
            </w:r>
            <w:r w:rsidRPr="00002EAF">
              <w:rPr>
                <w:rFonts w:ascii="Calibri" w:hAnsi="Calibri"/>
                <w:i/>
                <w:iCs/>
              </w:rPr>
              <w:t>The Reading Teacher</w:t>
            </w:r>
            <w:r w:rsidRPr="00002EAF">
              <w:rPr>
                <w:rFonts w:ascii="Calibri" w:hAnsi="Calibri"/>
              </w:rPr>
              <w:t xml:space="preserve">, </w:t>
            </w:r>
            <w:r w:rsidRPr="00002EAF">
              <w:rPr>
                <w:rFonts w:ascii="Calibri" w:hAnsi="Calibri"/>
                <w:i/>
                <w:iCs/>
              </w:rPr>
              <w:t>62(4)</w:t>
            </w:r>
            <w:r w:rsidRPr="00002EAF">
              <w:rPr>
                <w:rFonts w:ascii="Calibri" w:hAnsi="Calibri"/>
              </w:rPr>
              <w:t xml:space="preserve">, 314-323.  </w:t>
            </w:r>
          </w:p>
          <w:p w14:paraId="05BBE918" w14:textId="77777777" w:rsidR="00B45124" w:rsidRPr="00002EAF" w:rsidRDefault="00B45124" w:rsidP="00B45124">
            <w:pPr>
              <w:pStyle w:val="ListParagrap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02EA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14:paraId="14E9FEAF" w14:textId="77777777" w:rsidR="00B45124" w:rsidRDefault="00B45124" w:rsidP="00B45124">
            <w:pPr>
              <w:pStyle w:val="ListParagraph"/>
              <w:rPr>
                <w:rFonts w:asciiTheme="majorHAnsi" w:hAnsiTheme="majorHAnsi" w:cs="Lucida Grande"/>
                <w:b/>
                <w:sz w:val="24"/>
                <w:szCs w:val="24"/>
              </w:rPr>
            </w:pPr>
            <w:r w:rsidRPr="00002EAF">
              <w:rPr>
                <w:rFonts w:asciiTheme="majorHAnsi" w:hAnsiTheme="majorHAnsi" w:cs="Lucida Grande"/>
                <w:b/>
                <w:sz w:val="24"/>
                <w:szCs w:val="24"/>
              </w:rPr>
              <w:t>Fluency practice</w:t>
            </w:r>
          </w:p>
          <w:p w14:paraId="6FDC458E" w14:textId="77777777" w:rsidR="00B45124" w:rsidRPr="00CF5D9E" w:rsidRDefault="00B45124" w:rsidP="00B45124">
            <w:pPr>
              <w:pStyle w:val="ListParagraph"/>
              <w:numPr>
                <w:ilvl w:val="0"/>
                <w:numId w:val="12"/>
              </w:numPr>
              <w:tabs>
                <w:tab w:val="left" w:pos="-1440"/>
              </w:tabs>
              <w:rPr>
                <w:rFonts w:ascii="Calibri" w:hAnsi="Calibri"/>
              </w:rPr>
            </w:pPr>
            <w:proofErr w:type="spellStart"/>
            <w:r w:rsidRPr="00CF5D9E">
              <w:rPr>
                <w:rFonts w:ascii="Calibri" w:hAnsi="Calibri"/>
              </w:rPr>
              <w:t>Faver</w:t>
            </w:r>
            <w:proofErr w:type="spellEnd"/>
            <w:r w:rsidRPr="00CF5D9E">
              <w:rPr>
                <w:rFonts w:ascii="Calibri" w:hAnsi="Calibri"/>
              </w:rPr>
              <w:t xml:space="preserve">, S. (2008). Repeated reading of poetry can enhance reading fluency.  </w:t>
            </w:r>
            <w:r w:rsidRPr="00CF5D9E">
              <w:rPr>
                <w:rFonts w:ascii="Calibri" w:hAnsi="Calibri"/>
                <w:i/>
                <w:iCs/>
              </w:rPr>
              <w:t>The Reading Teacher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62(4)</w:t>
            </w:r>
            <w:r w:rsidRPr="00CF5D9E">
              <w:rPr>
                <w:rFonts w:ascii="Calibri" w:hAnsi="Calibri"/>
              </w:rPr>
              <w:t>, 350-352.</w:t>
            </w:r>
          </w:p>
          <w:p w14:paraId="70654B73" w14:textId="77777777" w:rsidR="00B45124" w:rsidRPr="00C207F2" w:rsidRDefault="00B45124" w:rsidP="00B45124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790C6625" w14:textId="77777777" w:rsidR="00B45124" w:rsidRPr="00CF5D9E" w:rsidRDefault="00B45124" w:rsidP="00B45124">
            <w:pPr>
              <w:pStyle w:val="ListParagraph"/>
              <w:numPr>
                <w:ilvl w:val="0"/>
                <w:numId w:val="12"/>
              </w:numPr>
              <w:tabs>
                <w:tab w:val="left" w:pos="-1440"/>
              </w:tabs>
              <w:rPr>
                <w:rFonts w:ascii="Calibri" w:hAnsi="Calibri"/>
              </w:rPr>
            </w:pPr>
            <w:proofErr w:type="spellStart"/>
            <w:r w:rsidRPr="00CF5D9E">
              <w:rPr>
                <w:rFonts w:ascii="Calibri" w:hAnsi="Calibri"/>
              </w:rPr>
              <w:t>Reutzel</w:t>
            </w:r>
            <w:proofErr w:type="spellEnd"/>
            <w:r w:rsidRPr="00CF5D9E">
              <w:rPr>
                <w:rFonts w:ascii="Calibri" w:hAnsi="Calibri"/>
              </w:rPr>
              <w:t xml:space="preserve">, D. R., Jones, C. D., </w:t>
            </w:r>
            <w:proofErr w:type="spellStart"/>
            <w:r w:rsidRPr="00CF5D9E">
              <w:rPr>
                <w:rFonts w:ascii="Calibri" w:hAnsi="Calibri"/>
              </w:rPr>
              <w:t>Fawson</w:t>
            </w:r>
            <w:proofErr w:type="spellEnd"/>
            <w:r w:rsidRPr="00CF5D9E">
              <w:rPr>
                <w:rFonts w:ascii="Calibri" w:hAnsi="Calibri"/>
              </w:rPr>
              <w:t xml:space="preserve">, P. C., &amp; Smith, J. A. (2008). </w:t>
            </w:r>
            <w:proofErr w:type="spellStart"/>
            <w:r w:rsidRPr="00CF5D9E">
              <w:rPr>
                <w:rFonts w:ascii="Calibri" w:hAnsi="Calibri"/>
              </w:rPr>
              <w:t>Scaffolded</w:t>
            </w:r>
            <w:proofErr w:type="spellEnd"/>
            <w:r w:rsidRPr="00CF5D9E">
              <w:rPr>
                <w:rFonts w:ascii="Calibri" w:hAnsi="Calibri"/>
              </w:rPr>
              <w:t xml:space="preserve"> silent reading: A </w:t>
            </w:r>
            <w:r w:rsidRPr="00CF5D9E">
              <w:rPr>
                <w:rFonts w:ascii="Calibri" w:hAnsi="Calibri"/>
              </w:rPr>
              <w:lastRenderedPageBreak/>
              <w:t xml:space="preserve">complement to </w:t>
            </w:r>
            <w:proofErr w:type="gramStart"/>
            <w:r w:rsidRPr="00CF5D9E">
              <w:rPr>
                <w:rFonts w:ascii="Calibri" w:hAnsi="Calibri"/>
              </w:rPr>
              <w:t>guided</w:t>
            </w:r>
            <w:proofErr w:type="gramEnd"/>
            <w:r w:rsidRPr="00CF5D9E">
              <w:rPr>
                <w:rFonts w:ascii="Calibri" w:hAnsi="Calibri"/>
              </w:rPr>
              <w:t xml:space="preserve"> repeated oral reading that works!  </w:t>
            </w:r>
            <w:r w:rsidRPr="00CF5D9E">
              <w:rPr>
                <w:rFonts w:ascii="Calibri" w:hAnsi="Calibri"/>
                <w:i/>
                <w:iCs/>
              </w:rPr>
              <w:t>The Reading Teacher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62(3)</w:t>
            </w:r>
            <w:r w:rsidRPr="00CF5D9E">
              <w:rPr>
                <w:rFonts w:ascii="Calibri" w:hAnsi="Calibri"/>
              </w:rPr>
              <w:t xml:space="preserve">, 194-207.  </w:t>
            </w:r>
          </w:p>
          <w:p w14:paraId="6BB7A4E1" w14:textId="77777777" w:rsidR="00B45124" w:rsidRPr="00C207F2" w:rsidRDefault="00B45124" w:rsidP="00B45124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7F3D4D49" w14:textId="77777777" w:rsidR="00B45124" w:rsidRPr="00CF5D9E" w:rsidRDefault="00B45124" w:rsidP="00B45124">
            <w:pPr>
              <w:pStyle w:val="ListParagraph"/>
              <w:numPr>
                <w:ilvl w:val="0"/>
                <w:numId w:val="12"/>
              </w:numPr>
              <w:tabs>
                <w:tab w:val="left" w:pos="-1440"/>
              </w:tabs>
              <w:rPr>
                <w:rFonts w:ascii="Calibri" w:hAnsi="Calibri"/>
              </w:rPr>
            </w:pPr>
            <w:r w:rsidRPr="00CF5D9E">
              <w:rPr>
                <w:rFonts w:ascii="Calibri" w:hAnsi="Calibri"/>
              </w:rPr>
              <w:t>Worthy, J., &amp; Broaddus, K</w:t>
            </w:r>
            <w:proofErr w:type="gramStart"/>
            <w:r w:rsidRPr="00CF5D9E">
              <w:rPr>
                <w:rFonts w:ascii="Calibri" w:hAnsi="Calibri"/>
              </w:rPr>
              <w:t>.(</w:t>
            </w:r>
            <w:proofErr w:type="gramEnd"/>
            <w:r w:rsidRPr="00CF5D9E">
              <w:rPr>
                <w:rFonts w:ascii="Calibri" w:hAnsi="Calibri"/>
              </w:rPr>
              <w:t xml:space="preserve">2001/2002). Fluency beyond the primary grades: From group performance to silent, independent reading. </w:t>
            </w:r>
            <w:r w:rsidRPr="00CF5D9E">
              <w:rPr>
                <w:rFonts w:ascii="Calibri" w:hAnsi="Calibri"/>
                <w:i/>
                <w:iCs/>
              </w:rPr>
              <w:t>The Reading Teacher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55(4)</w:t>
            </w:r>
            <w:r w:rsidRPr="00CF5D9E">
              <w:rPr>
                <w:rFonts w:ascii="Calibri" w:hAnsi="Calibri"/>
              </w:rPr>
              <w:t>, 334-343.</w:t>
            </w:r>
          </w:p>
          <w:p w14:paraId="6DCAEBF8" w14:textId="77777777" w:rsidR="00B45124" w:rsidRDefault="00B45124" w:rsidP="00B45124">
            <w:pPr>
              <w:pStyle w:val="ListParagraph"/>
              <w:rPr>
                <w:rFonts w:asciiTheme="majorHAnsi" w:hAnsiTheme="majorHAnsi" w:cs="Lucida Grande"/>
                <w:b/>
                <w:sz w:val="24"/>
                <w:szCs w:val="24"/>
              </w:rPr>
            </w:pPr>
          </w:p>
          <w:p w14:paraId="1CCB6C14" w14:textId="77777777" w:rsidR="00B45124" w:rsidRPr="00CF5D9E" w:rsidRDefault="00B45124" w:rsidP="00B45124">
            <w:pPr>
              <w:rPr>
                <w:rFonts w:asciiTheme="majorHAnsi" w:hAnsiTheme="majorHAnsi" w:cs="Lucida Grande"/>
                <w:b/>
                <w:sz w:val="24"/>
                <w:szCs w:val="24"/>
              </w:rPr>
            </w:pPr>
            <w:r w:rsidRPr="00CF5D9E">
              <w:rPr>
                <w:rFonts w:asciiTheme="majorHAnsi" w:hAnsiTheme="majorHAnsi" w:cs="Lucida Grande"/>
                <w:b/>
                <w:sz w:val="24"/>
                <w:szCs w:val="24"/>
              </w:rPr>
              <w:t xml:space="preserve">Comprehension instruction </w:t>
            </w:r>
          </w:p>
          <w:p w14:paraId="42FDECCB" w14:textId="77777777" w:rsidR="00B45124" w:rsidRPr="00CF5D9E" w:rsidRDefault="00B45124" w:rsidP="00B45124">
            <w:pPr>
              <w:pStyle w:val="ListParagraph"/>
              <w:numPr>
                <w:ilvl w:val="0"/>
                <w:numId w:val="13"/>
              </w:numPr>
              <w:tabs>
                <w:tab w:val="left" w:pos="-1440"/>
              </w:tabs>
              <w:rPr>
                <w:rFonts w:ascii="Calibri" w:hAnsi="Calibri"/>
              </w:rPr>
            </w:pPr>
            <w:proofErr w:type="spellStart"/>
            <w:r w:rsidRPr="00CF5D9E">
              <w:rPr>
                <w:rFonts w:ascii="Calibri" w:hAnsi="Calibri"/>
              </w:rPr>
              <w:t>Scharlach</w:t>
            </w:r>
            <w:proofErr w:type="spellEnd"/>
            <w:r w:rsidRPr="00CF5D9E">
              <w:rPr>
                <w:rFonts w:ascii="Calibri" w:hAnsi="Calibri"/>
              </w:rPr>
              <w:t xml:space="preserve">, T. D. (2008). START comprehending:  Students and Teachers Actively Reading Text. </w:t>
            </w:r>
            <w:r w:rsidRPr="00CF5D9E">
              <w:rPr>
                <w:rFonts w:ascii="Calibri" w:hAnsi="Calibri"/>
                <w:i/>
                <w:iCs/>
              </w:rPr>
              <w:t>The Reading Teacher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62(1)</w:t>
            </w:r>
            <w:r w:rsidRPr="00CF5D9E">
              <w:rPr>
                <w:rFonts w:ascii="Calibri" w:hAnsi="Calibri"/>
              </w:rPr>
              <w:t>, 20-31.</w:t>
            </w:r>
          </w:p>
          <w:p w14:paraId="2272040F" w14:textId="77777777" w:rsidR="00B45124" w:rsidRPr="00C207F2" w:rsidRDefault="00B45124" w:rsidP="00B45124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</w:p>
          <w:p w14:paraId="0B1284E6" w14:textId="77777777" w:rsidR="00B45124" w:rsidRPr="00CF5D9E" w:rsidRDefault="00B45124" w:rsidP="00B45124">
            <w:pPr>
              <w:pStyle w:val="ListParagraph"/>
              <w:numPr>
                <w:ilvl w:val="0"/>
                <w:numId w:val="13"/>
              </w:numPr>
              <w:tabs>
                <w:tab w:val="left" w:pos="-1440"/>
              </w:tabs>
              <w:rPr>
                <w:rFonts w:ascii="Calibri" w:hAnsi="Calibri"/>
              </w:rPr>
            </w:pPr>
            <w:r w:rsidRPr="00CF5D9E">
              <w:rPr>
                <w:rFonts w:ascii="Calibri" w:hAnsi="Calibri"/>
              </w:rPr>
              <w:t xml:space="preserve">Vaughn, S., &amp; Edmonds, M. (2008).  Reading comprehension for older readers.  </w:t>
            </w:r>
            <w:r w:rsidRPr="00CF5D9E">
              <w:rPr>
                <w:rFonts w:ascii="Calibri" w:hAnsi="Calibri"/>
                <w:i/>
                <w:iCs/>
              </w:rPr>
              <w:t>Intervention in School and Clinic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41(3)</w:t>
            </w:r>
            <w:r w:rsidRPr="00CF5D9E">
              <w:rPr>
                <w:rFonts w:ascii="Calibri" w:hAnsi="Calibri"/>
              </w:rPr>
              <w:t xml:space="preserve">, 131-137.  </w:t>
            </w:r>
          </w:p>
          <w:p w14:paraId="6081300A" w14:textId="77777777" w:rsidR="00B45124" w:rsidRPr="00C207F2" w:rsidRDefault="00B45124" w:rsidP="00B45124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571CCA38" w14:textId="77777777" w:rsidR="00B45124" w:rsidRPr="00CF5D9E" w:rsidRDefault="00B45124" w:rsidP="00B45124">
            <w:pPr>
              <w:pStyle w:val="ListParagraph"/>
              <w:numPr>
                <w:ilvl w:val="0"/>
                <w:numId w:val="13"/>
              </w:numPr>
              <w:tabs>
                <w:tab w:val="left" w:pos="-1440"/>
              </w:tabs>
              <w:rPr>
                <w:rFonts w:ascii="Calibri" w:hAnsi="Calibri"/>
              </w:rPr>
            </w:pPr>
            <w:r w:rsidRPr="00CF5D9E">
              <w:rPr>
                <w:rFonts w:ascii="Calibri" w:hAnsi="Calibri"/>
              </w:rPr>
              <w:t xml:space="preserve">Gill, S. R. (2008). The comprehension matrix:  A tool for designing comprehension instruction.  </w:t>
            </w:r>
            <w:r w:rsidRPr="00CF5D9E">
              <w:rPr>
                <w:rFonts w:ascii="Calibri" w:hAnsi="Calibri"/>
                <w:i/>
                <w:iCs/>
              </w:rPr>
              <w:t>The Reading Teacher</w:t>
            </w:r>
            <w:r w:rsidRPr="00CF5D9E">
              <w:rPr>
                <w:rFonts w:ascii="Calibri" w:hAnsi="Calibri"/>
              </w:rPr>
              <w:t xml:space="preserve">, </w:t>
            </w:r>
            <w:r w:rsidRPr="00CF5D9E">
              <w:rPr>
                <w:rFonts w:ascii="Calibri" w:hAnsi="Calibri"/>
                <w:i/>
                <w:iCs/>
              </w:rPr>
              <w:t>62(2)</w:t>
            </w:r>
            <w:r w:rsidRPr="00CF5D9E">
              <w:rPr>
                <w:rFonts w:ascii="Calibri" w:hAnsi="Calibri"/>
              </w:rPr>
              <w:t xml:space="preserve">, 106-113.  </w:t>
            </w:r>
          </w:p>
          <w:p w14:paraId="0686B757" w14:textId="77777777" w:rsidR="00B45124" w:rsidRPr="00002EAF" w:rsidRDefault="00B45124" w:rsidP="00B45124">
            <w:pPr>
              <w:pStyle w:val="ListParagraph"/>
              <w:rPr>
                <w:rFonts w:asciiTheme="majorHAnsi" w:hAnsiTheme="majorHAnsi" w:cs="Lucida Grande"/>
                <w:b/>
                <w:sz w:val="24"/>
                <w:szCs w:val="24"/>
              </w:rPr>
            </w:pPr>
          </w:p>
          <w:p w14:paraId="793434C8" w14:textId="77777777" w:rsidR="00B45124" w:rsidRPr="00CF5D9E" w:rsidRDefault="00B45124" w:rsidP="00B45124">
            <w:pPr>
              <w:rPr>
                <w:rFonts w:asciiTheme="majorHAnsi" w:hAnsiTheme="majorHAnsi" w:cs="Lucida Grande"/>
                <w:b/>
                <w:sz w:val="24"/>
                <w:szCs w:val="24"/>
              </w:rPr>
            </w:pPr>
            <w:r w:rsidRPr="00CF5D9E">
              <w:rPr>
                <w:rFonts w:asciiTheme="majorHAnsi" w:hAnsiTheme="majorHAnsi" w:cs="Lucida Grande"/>
                <w:b/>
                <w:sz w:val="24"/>
                <w:szCs w:val="24"/>
              </w:rPr>
              <w:t xml:space="preserve">Overall online communication </w:t>
            </w:r>
          </w:p>
          <w:p w14:paraId="62D9D4FD" w14:textId="77777777" w:rsidR="00B45124" w:rsidRDefault="00B45124" w:rsidP="00B45124">
            <w:pPr>
              <w:rPr>
                <w:rFonts w:ascii="Lucida Grande" w:hAnsi="Lucida Grande" w:cs="Lucida Grande"/>
                <w:b/>
                <w:sz w:val="24"/>
                <w:szCs w:val="24"/>
              </w:rPr>
            </w:pPr>
          </w:p>
          <w:p w14:paraId="0DF2CC1D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68D20D2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F30D92D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00878B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00C4832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23A6AB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561D1CC3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5E551B6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97C8A0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9C849B7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3C0F881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D0A2CA0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3A5EE612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5AD0266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  <w:tr w:rsidR="00540DC1" w:rsidRPr="00851046" w14:paraId="39B9469C" w14:textId="77777777">
        <w:trPr>
          <w:trHeight w:val="314"/>
        </w:trPr>
        <w:tc>
          <w:tcPr>
            <w:tcW w:w="9576" w:type="dxa"/>
            <w:shd w:val="clear" w:color="auto" w:fill="DBE5F1" w:themeFill="accent1" w:themeFillTint="33"/>
          </w:tcPr>
          <w:p w14:paraId="32928306" w14:textId="62265976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  <w:r>
              <w:rPr>
                <w:rFonts w:ascii="Lucida Grande" w:hAnsi="Lucida Grande" w:cs="Lucida Grande"/>
                <w:sz w:val="24"/>
                <w:szCs w:val="24"/>
              </w:rPr>
              <w:lastRenderedPageBreak/>
              <w:t xml:space="preserve">Key </w:t>
            </w:r>
            <w:r w:rsidRPr="00851046">
              <w:rPr>
                <w:rFonts w:ascii="Lucida Grande" w:hAnsi="Lucida Grande" w:cs="Lucida Grande"/>
                <w:sz w:val="24"/>
                <w:szCs w:val="24"/>
              </w:rPr>
              <w:t>RESOURCES</w:t>
            </w:r>
            <w:r>
              <w:rPr>
                <w:rFonts w:ascii="Lucida Grande" w:hAnsi="Lucida Grande" w:cs="Lucida Grande"/>
                <w:sz w:val="24"/>
                <w:szCs w:val="24"/>
              </w:rPr>
              <w:t xml:space="preserve">: </w:t>
            </w:r>
          </w:p>
        </w:tc>
      </w:tr>
      <w:tr w:rsidR="00540DC1" w:rsidRPr="00851046" w14:paraId="04A938D6" w14:textId="77777777">
        <w:tc>
          <w:tcPr>
            <w:tcW w:w="9576" w:type="dxa"/>
          </w:tcPr>
          <w:p w14:paraId="13D6A8D0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7442E259" w14:textId="5E4F8E42" w:rsidR="00540DC1" w:rsidRPr="00904412" w:rsidRDefault="00540DC1" w:rsidP="00540DC1">
            <w:pPr>
              <w:pStyle w:val="Heading2"/>
              <w:numPr>
                <w:ilvl w:val="0"/>
                <w:numId w:val="5"/>
              </w:numPr>
              <w:spacing w:line="240" w:lineRule="auto"/>
              <w:ind w:left="360"/>
              <w:outlineLvl w:val="1"/>
              <w:rPr>
                <w:rFonts w:ascii="Calibri" w:hAnsi="Calibri"/>
                <w:sz w:val="22"/>
              </w:rPr>
            </w:pPr>
            <w:r w:rsidRPr="008319AA">
              <w:rPr>
                <w:rFonts w:ascii="Calibri" w:hAnsi="Calibri"/>
                <w:sz w:val="22"/>
              </w:rPr>
              <w:t>Required</w:t>
            </w:r>
            <w:r>
              <w:rPr>
                <w:rFonts w:ascii="Calibri" w:hAnsi="Calibri"/>
                <w:sz w:val="22"/>
              </w:rPr>
              <w:t xml:space="preserve"> Readings</w:t>
            </w:r>
            <w:r w:rsidR="00EC6B51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44F27268" w14:textId="77777777" w:rsidR="00540DC1" w:rsidRPr="0004253E" w:rsidRDefault="00540DC1" w:rsidP="00540DC1">
            <w:pPr>
              <w:rPr>
                <w:rFonts w:ascii="Calibri" w:hAnsi="Calibri"/>
                <w:lang w:val="en-GB"/>
              </w:rPr>
            </w:pPr>
          </w:p>
          <w:p w14:paraId="241BE636" w14:textId="77777777" w:rsidR="00540DC1" w:rsidRDefault="00540DC1" w:rsidP="00540DC1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0"/>
              </w:rPr>
            </w:pPr>
            <w:proofErr w:type="spellStart"/>
            <w:r w:rsidRPr="0004253E">
              <w:rPr>
                <w:rFonts w:ascii="Calibri" w:hAnsi="Calibri"/>
                <w:sz w:val="20"/>
              </w:rPr>
              <w:t>Allington</w:t>
            </w:r>
            <w:proofErr w:type="spellEnd"/>
            <w:r w:rsidRPr="0004253E">
              <w:rPr>
                <w:rFonts w:ascii="Calibri" w:hAnsi="Calibri"/>
                <w:sz w:val="20"/>
              </w:rPr>
              <w:t xml:space="preserve">, R. L. (2015).   </w:t>
            </w:r>
            <w:r w:rsidRPr="0004253E">
              <w:rPr>
                <w:rFonts w:ascii="Calibri" w:hAnsi="Calibri"/>
                <w:i/>
                <w:sz w:val="20"/>
              </w:rPr>
              <w:t>What Really Matters for Middle School Readers:  From Research to Practice.</w:t>
            </w:r>
            <w:r w:rsidRPr="0004253E">
              <w:rPr>
                <w:rFonts w:ascii="Calibri" w:hAnsi="Calibri"/>
                <w:sz w:val="20"/>
              </w:rPr>
              <w:t xml:space="preserve">  </w:t>
            </w:r>
          </w:p>
          <w:p w14:paraId="5D5B64B5" w14:textId="77777777" w:rsidR="00540DC1" w:rsidRPr="0004253E" w:rsidRDefault="00540DC1" w:rsidP="00540DC1">
            <w:pPr>
              <w:pStyle w:val="BodyTextIndent"/>
              <w:ind w:left="10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 w:rsidRPr="0004253E">
              <w:rPr>
                <w:rFonts w:ascii="Calibri" w:hAnsi="Calibri"/>
                <w:sz w:val="20"/>
              </w:rPr>
              <w:t>Boston: Pearson Education, Inc.  ISBN: 978-0-205-39319-0</w:t>
            </w:r>
          </w:p>
          <w:p w14:paraId="16334B59" w14:textId="77777777" w:rsidR="00540DC1" w:rsidRPr="0004253E" w:rsidRDefault="00540DC1" w:rsidP="00540DC1">
            <w:pPr>
              <w:rPr>
                <w:rFonts w:ascii="Calibri" w:hAnsi="Calibri"/>
                <w:lang w:val="en-GB"/>
              </w:rPr>
            </w:pPr>
          </w:p>
          <w:p w14:paraId="48DE55C5" w14:textId="77777777" w:rsidR="00540DC1" w:rsidRDefault="00540DC1" w:rsidP="00540DC1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Elish</w:t>
            </w:r>
            <w:proofErr w:type="spellEnd"/>
            <w:r>
              <w:rPr>
                <w:rFonts w:ascii="Calibri" w:hAnsi="Calibri"/>
                <w:sz w:val="20"/>
              </w:rPr>
              <w:t xml:space="preserve">-Piper, L, &amp; </w:t>
            </w:r>
            <w:proofErr w:type="spellStart"/>
            <w:r>
              <w:rPr>
                <w:rFonts w:ascii="Calibri" w:hAnsi="Calibri"/>
                <w:sz w:val="20"/>
              </w:rPr>
              <w:t>L’Allier</w:t>
            </w:r>
            <w:proofErr w:type="spellEnd"/>
            <w:r>
              <w:rPr>
                <w:rFonts w:ascii="Calibri" w:hAnsi="Calibri"/>
                <w:sz w:val="20"/>
              </w:rPr>
              <w:t>, S. K</w:t>
            </w:r>
            <w:r w:rsidRPr="0004253E">
              <w:rPr>
                <w:rFonts w:ascii="Calibri" w:hAnsi="Calibri"/>
                <w:sz w:val="20"/>
              </w:rPr>
              <w:t>. (201</w:t>
            </w:r>
            <w:r>
              <w:rPr>
                <w:rFonts w:ascii="Calibri" w:hAnsi="Calibri"/>
                <w:sz w:val="20"/>
              </w:rPr>
              <w:t>3</w:t>
            </w:r>
            <w:r w:rsidRPr="0004253E">
              <w:rPr>
                <w:rFonts w:ascii="Calibri" w:hAnsi="Calibri"/>
                <w:sz w:val="20"/>
              </w:rPr>
              <w:t xml:space="preserve">).   </w:t>
            </w:r>
            <w:r>
              <w:rPr>
                <w:rFonts w:ascii="Calibri" w:hAnsi="Calibri"/>
                <w:i/>
                <w:sz w:val="20"/>
              </w:rPr>
              <w:t>Literacy Strategies for Teacher Candidates</w:t>
            </w:r>
            <w:r w:rsidRPr="0004253E">
              <w:rPr>
                <w:rFonts w:ascii="Calibri" w:hAnsi="Calibri"/>
                <w:i/>
                <w:sz w:val="20"/>
              </w:rPr>
              <w:t>.</w:t>
            </w:r>
            <w:r w:rsidRPr="0004253E">
              <w:rPr>
                <w:rFonts w:ascii="Calibri" w:hAnsi="Calibri"/>
                <w:sz w:val="20"/>
              </w:rPr>
              <w:t xml:space="preserve">  Boston: Pearson </w:t>
            </w:r>
          </w:p>
          <w:p w14:paraId="148D4880" w14:textId="77777777" w:rsidR="00540DC1" w:rsidRDefault="00540DC1" w:rsidP="00540DC1">
            <w:pPr>
              <w:pStyle w:val="BodyTextIndent"/>
              <w:ind w:left="10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 w:rsidRPr="0004253E">
              <w:rPr>
                <w:rFonts w:ascii="Calibri" w:hAnsi="Calibri"/>
                <w:sz w:val="20"/>
              </w:rPr>
              <w:t>Education, Inc.  ISBN: 978-0-</w:t>
            </w:r>
            <w:r>
              <w:rPr>
                <w:rFonts w:ascii="Calibri" w:hAnsi="Calibri"/>
                <w:sz w:val="20"/>
              </w:rPr>
              <w:t>13-715589-7</w:t>
            </w:r>
          </w:p>
          <w:p w14:paraId="643B0FB6" w14:textId="77777777" w:rsidR="00125C4E" w:rsidRDefault="00125C4E" w:rsidP="00540DC1">
            <w:pPr>
              <w:pStyle w:val="BodyTextIndent"/>
              <w:ind w:left="1080"/>
              <w:rPr>
                <w:rFonts w:ascii="Calibri" w:hAnsi="Calibri"/>
                <w:sz w:val="20"/>
              </w:rPr>
            </w:pPr>
          </w:p>
          <w:p w14:paraId="48D6B4AC" w14:textId="458D71B2" w:rsidR="00125C4E" w:rsidRPr="00125C4E" w:rsidRDefault="00125C4E" w:rsidP="00125C4E">
            <w:pPr>
              <w:pStyle w:val="BodyTextInden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125C4E">
              <w:rPr>
                <w:rFonts w:ascii="Calibri" w:hAnsi="Calibri"/>
                <w:b/>
                <w:sz w:val="20"/>
                <w:u w:val="single"/>
              </w:rPr>
              <w:t>ADDITIONAL Readings</w:t>
            </w:r>
            <w:r w:rsidR="00EC6B51">
              <w:rPr>
                <w:rFonts w:ascii="Calibri" w:hAnsi="Calibri"/>
                <w:b/>
                <w:sz w:val="20"/>
                <w:u w:val="single"/>
              </w:rPr>
              <w:t xml:space="preserve"> and References: </w:t>
            </w:r>
            <w:r w:rsidRPr="00125C4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</w:p>
          <w:p w14:paraId="63340CAA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Berne, J. I., &amp; </w:t>
            </w:r>
            <w:proofErr w:type="spellStart"/>
            <w:r w:rsidRPr="00C47E00">
              <w:rPr>
                <w:rFonts w:ascii="Calibri" w:hAnsi="Calibri"/>
              </w:rPr>
              <w:t>Blachowicz</w:t>
            </w:r>
            <w:proofErr w:type="spellEnd"/>
            <w:r w:rsidRPr="00C47E00">
              <w:rPr>
                <w:rFonts w:ascii="Calibri" w:hAnsi="Calibri"/>
              </w:rPr>
              <w:t xml:space="preserve">, C. L. Z. (2008). What reading teachers say about vocabulary instruction:  Voices from the classroom.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62(4)</w:t>
            </w:r>
            <w:r w:rsidRPr="00C47E00">
              <w:rPr>
                <w:rFonts w:ascii="Calibri" w:hAnsi="Calibri"/>
              </w:rPr>
              <w:t xml:space="preserve">, 314-323. </w:t>
            </w:r>
          </w:p>
          <w:p w14:paraId="5ED6B9DC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 </w:t>
            </w:r>
          </w:p>
          <w:p w14:paraId="6EA52089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Billings, L., &amp; Roberts, T. (2012/2013). Think like a seminar.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68</w:t>
            </w:r>
            <w:proofErr w:type="gramEnd"/>
            <w:r w:rsidRPr="00C47E00">
              <w:rPr>
                <w:rFonts w:ascii="Calibri" w:hAnsi="Calibri"/>
              </w:rPr>
              <w:t>-72.</w:t>
            </w:r>
          </w:p>
          <w:p w14:paraId="4FDE0C06" w14:textId="77777777" w:rsidR="00125C4E" w:rsidRPr="00C47E00" w:rsidRDefault="00125C4E" w:rsidP="00125C4E">
            <w:pPr>
              <w:pStyle w:val="Heading3"/>
              <w:ind w:left="215" w:hanging="215"/>
              <w:outlineLvl w:val="2"/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C47E00">
              <w:rPr>
                <w:rFonts w:ascii="Calibri" w:hAnsi="Calibri"/>
                <w:b w:val="0"/>
                <w:color w:val="auto"/>
              </w:rPr>
              <w:lastRenderedPageBreak/>
              <w:t>Blachowicz</w:t>
            </w:r>
            <w:proofErr w:type="spellEnd"/>
            <w:r w:rsidRPr="00C47E00">
              <w:rPr>
                <w:rFonts w:ascii="Calibri" w:hAnsi="Calibri"/>
                <w:b w:val="0"/>
                <w:color w:val="auto"/>
              </w:rPr>
              <w:t xml:space="preserve">, C. L. Z., &amp; Fisher, P. (2004). Vocabulary lessons. </w:t>
            </w:r>
            <w:r w:rsidRPr="00C47E00">
              <w:rPr>
                <w:rFonts w:ascii="Calibri" w:hAnsi="Calibri"/>
                <w:b w:val="0"/>
                <w:i/>
                <w:iCs/>
                <w:color w:val="auto"/>
              </w:rPr>
              <w:t>Educational Leadership</w:t>
            </w:r>
            <w:r w:rsidRPr="00C47E00">
              <w:rPr>
                <w:rFonts w:ascii="Calibri" w:hAnsi="Calibri"/>
                <w:b w:val="0"/>
                <w:color w:val="auto"/>
              </w:rPr>
              <w:t xml:space="preserve">, </w:t>
            </w:r>
            <w:r w:rsidRPr="00C47E00">
              <w:rPr>
                <w:rFonts w:ascii="Calibri" w:hAnsi="Calibri"/>
                <w:b w:val="0"/>
                <w:i/>
                <w:iCs/>
                <w:color w:val="auto"/>
              </w:rPr>
              <w:t>61(6)</w:t>
            </w:r>
            <w:proofErr w:type="gramStart"/>
            <w:r w:rsidRPr="00C47E00">
              <w:rPr>
                <w:rFonts w:ascii="Calibri" w:hAnsi="Calibri"/>
                <w:b w:val="0"/>
                <w:i/>
                <w:iCs/>
                <w:color w:val="auto"/>
              </w:rPr>
              <w:t xml:space="preserve">, </w:t>
            </w:r>
            <w:r w:rsidRPr="00C47E00">
              <w:rPr>
                <w:rFonts w:ascii="Calibri" w:hAnsi="Calibri"/>
                <w:b w:val="0"/>
                <w:color w:val="auto"/>
              </w:rPr>
              <w:t xml:space="preserve"> 66</w:t>
            </w:r>
            <w:proofErr w:type="gramEnd"/>
            <w:r w:rsidRPr="00C47E00">
              <w:rPr>
                <w:rFonts w:ascii="Calibri" w:hAnsi="Calibri"/>
                <w:b w:val="0"/>
                <w:color w:val="auto"/>
              </w:rPr>
              <w:t>-69.</w:t>
            </w:r>
          </w:p>
          <w:p w14:paraId="14801D85" w14:textId="77777777" w:rsidR="00125C4E" w:rsidRPr="00C47E00" w:rsidRDefault="00125C4E" w:rsidP="00125C4E">
            <w:pPr>
              <w:ind w:hanging="720"/>
              <w:rPr>
                <w:rFonts w:ascii="Calibri" w:hAnsi="Calibri"/>
                <w:lang w:val="en-GB"/>
              </w:rPr>
            </w:pPr>
          </w:p>
          <w:p w14:paraId="11F93AE8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Brooks, J. G., &amp; Dietz, M. (2012/2013). The dangers &amp; opportunities of the Common Core.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64</w:t>
            </w:r>
            <w:proofErr w:type="gramEnd"/>
            <w:r w:rsidRPr="00C47E00">
              <w:rPr>
                <w:rFonts w:ascii="Calibri" w:hAnsi="Calibri"/>
              </w:rPr>
              <w:t>-67.</w:t>
            </w:r>
          </w:p>
          <w:p w14:paraId="2155839D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64804FA2" w14:textId="77777777" w:rsidR="00125C4E" w:rsidRPr="00C47E00" w:rsidRDefault="00125C4E" w:rsidP="00125C4E">
            <w:pPr>
              <w:tabs>
                <w:tab w:val="left" w:pos="-1440"/>
              </w:tabs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Boyles, N. (2012/2013). Closing in on close reading.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36</w:t>
            </w:r>
            <w:proofErr w:type="gramEnd"/>
            <w:r w:rsidRPr="00C47E00">
              <w:rPr>
                <w:rFonts w:ascii="Calibri" w:hAnsi="Calibri"/>
              </w:rPr>
              <w:t>-41.</w:t>
            </w:r>
          </w:p>
          <w:p w14:paraId="297BF39D" w14:textId="77777777" w:rsidR="00125C4E" w:rsidRPr="00C47E00" w:rsidRDefault="00125C4E" w:rsidP="00125C4E">
            <w:pPr>
              <w:ind w:hanging="720"/>
              <w:rPr>
                <w:rFonts w:ascii="Calibri" w:hAnsi="Calibri"/>
                <w:lang w:val="en-GB"/>
              </w:rPr>
            </w:pPr>
          </w:p>
          <w:p w14:paraId="133D87E2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Dobler</w:t>
            </w:r>
            <w:proofErr w:type="spellEnd"/>
            <w:r w:rsidRPr="00C47E00">
              <w:rPr>
                <w:rFonts w:ascii="Calibri" w:hAnsi="Calibri"/>
              </w:rPr>
              <w:t xml:space="preserve">, E. (2013). Authentic reasons for close reading:  How to motivate students to take another look.  </w:t>
            </w:r>
            <w:r w:rsidRPr="00C47E00">
              <w:rPr>
                <w:rFonts w:ascii="Calibri" w:hAnsi="Calibri"/>
                <w:i/>
                <w:iCs/>
              </w:rPr>
              <w:t>Reading Today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30(6)</w:t>
            </w:r>
            <w:r w:rsidRPr="00C47E00">
              <w:rPr>
                <w:rFonts w:ascii="Calibri" w:hAnsi="Calibri"/>
              </w:rPr>
              <w:t>, 13-15.</w:t>
            </w:r>
          </w:p>
          <w:p w14:paraId="3A92A545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26DB1C70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Doorey</w:t>
            </w:r>
            <w:proofErr w:type="spellEnd"/>
            <w:r w:rsidRPr="00C47E00">
              <w:rPr>
                <w:rFonts w:ascii="Calibri" w:hAnsi="Calibri"/>
              </w:rPr>
              <w:t xml:space="preserve">, N. (2012/2013). Coming soon:  A new generation of assessments.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28</w:t>
            </w:r>
            <w:proofErr w:type="gramEnd"/>
            <w:r w:rsidRPr="00C47E00">
              <w:rPr>
                <w:rFonts w:ascii="Calibri" w:hAnsi="Calibri"/>
              </w:rPr>
              <w:t>-34.</w:t>
            </w:r>
          </w:p>
          <w:p w14:paraId="3EDEBC65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01EE4204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Doorey</w:t>
            </w:r>
            <w:proofErr w:type="spellEnd"/>
            <w:r w:rsidRPr="00C47E00">
              <w:rPr>
                <w:rFonts w:ascii="Calibri" w:hAnsi="Calibri"/>
              </w:rPr>
              <w:t xml:space="preserve">, N. (2014). The Common Core assessments:  What you need to know.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57</w:t>
            </w:r>
            <w:proofErr w:type="gramEnd"/>
            <w:r w:rsidRPr="00C47E00">
              <w:rPr>
                <w:rFonts w:ascii="Calibri" w:hAnsi="Calibri"/>
              </w:rPr>
              <w:t>-60.</w:t>
            </w:r>
          </w:p>
          <w:p w14:paraId="2C674655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Faver</w:t>
            </w:r>
            <w:proofErr w:type="spellEnd"/>
            <w:r w:rsidRPr="00C47E00">
              <w:rPr>
                <w:rFonts w:ascii="Calibri" w:hAnsi="Calibri"/>
              </w:rPr>
              <w:t xml:space="preserve">, S. (2008). Repeated reading of poetry can enhance reading fluency.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62(4)</w:t>
            </w:r>
            <w:r w:rsidRPr="00C47E00">
              <w:rPr>
                <w:rFonts w:ascii="Calibri" w:hAnsi="Calibri"/>
              </w:rPr>
              <w:t>, 350-352.</w:t>
            </w:r>
          </w:p>
          <w:p w14:paraId="1101EB2C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11A7BB9F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Frey, N., Fisher, D., &amp; Nelson, J. (2013). It’s all about the talk.  </w:t>
            </w:r>
            <w:r w:rsidRPr="00C47E00">
              <w:rPr>
                <w:rFonts w:ascii="Calibri" w:hAnsi="Calibri"/>
                <w:i/>
                <w:iCs/>
              </w:rPr>
              <w:t xml:space="preserve">Phi Delta </w:t>
            </w:r>
            <w:proofErr w:type="spellStart"/>
            <w:r w:rsidRPr="00C47E00">
              <w:rPr>
                <w:rFonts w:ascii="Calibri" w:hAnsi="Calibri"/>
                <w:i/>
                <w:iCs/>
              </w:rPr>
              <w:t>Kappan</w:t>
            </w:r>
            <w:proofErr w:type="spellEnd"/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94(6)</w:t>
            </w:r>
            <w:r w:rsidRPr="00C47E00">
              <w:rPr>
                <w:rFonts w:ascii="Calibri" w:hAnsi="Calibri"/>
              </w:rPr>
              <w:t>, 8-13.</w:t>
            </w:r>
          </w:p>
          <w:p w14:paraId="6AD584EC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1C593A7D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Gill, S. R. (2008). The comprehension matrix:  A tool for designing comprehension instruction.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62(2)</w:t>
            </w:r>
            <w:r w:rsidRPr="00C47E00">
              <w:rPr>
                <w:rFonts w:ascii="Calibri" w:hAnsi="Calibri"/>
              </w:rPr>
              <w:t xml:space="preserve">, 106-113.  </w:t>
            </w:r>
          </w:p>
          <w:p w14:paraId="26257E7D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07725A47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Greene, K. (Fall, 2012). Common Core:  Fact vs. Fiction.  </w:t>
            </w:r>
            <w:r w:rsidRPr="00C47E00">
              <w:rPr>
                <w:rFonts w:ascii="Calibri" w:hAnsi="Calibri"/>
                <w:i/>
                <w:iCs/>
              </w:rPr>
              <w:t>Instructor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122(2)</w:t>
            </w:r>
            <w:r w:rsidRPr="00C47E00">
              <w:rPr>
                <w:rFonts w:ascii="Calibri" w:hAnsi="Calibri"/>
              </w:rPr>
              <w:t>, 23-26.</w:t>
            </w:r>
          </w:p>
          <w:p w14:paraId="48FE199A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</w:p>
          <w:p w14:paraId="5729118B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Jago</w:t>
            </w:r>
            <w:proofErr w:type="spellEnd"/>
            <w:r w:rsidRPr="00C47E00">
              <w:rPr>
                <w:rFonts w:ascii="Calibri" w:hAnsi="Calibri"/>
              </w:rPr>
              <w:t xml:space="preserve">, C. (2012). Opening the literature window.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69(6)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40</w:t>
            </w:r>
            <w:proofErr w:type="gramEnd"/>
            <w:r w:rsidRPr="00C47E00">
              <w:rPr>
                <w:rFonts w:ascii="Calibri" w:hAnsi="Calibri"/>
              </w:rPr>
              <w:t>-43.</w:t>
            </w:r>
          </w:p>
          <w:p w14:paraId="5D92F136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693C9E26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>Kindle, K. J. (2009). Vocabulary development during read-</w:t>
            </w:r>
            <w:proofErr w:type="spellStart"/>
            <w:r w:rsidRPr="00C47E00">
              <w:rPr>
                <w:rFonts w:ascii="Calibri" w:hAnsi="Calibri"/>
              </w:rPr>
              <w:t>alouds</w:t>
            </w:r>
            <w:proofErr w:type="spellEnd"/>
            <w:r w:rsidRPr="00C47E00">
              <w:rPr>
                <w:rFonts w:ascii="Calibri" w:hAnsi="Calibri"/>
              </w:rPr>
              <w:t xml:space="preserve">:  Primary practice.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63(3)</w:t>
            </w:r>
            <w:r w:rsidRPr="00C47E00">
              <w:rPr>
                <w:rFonts w:ascii="Calibri" w:hAnsi="Calibri"/>
              </w:rPr>
              <w:t xml:space="preserve">, 202-211.  </w:t>
            </w:r>
          </w:p>
          <w:p w14:paraId="558C0978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78542F7C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Kist, W. (2013). New literacies and the Common Core.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70(6)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38</w:t>
            </w:r>
            <w:proofErr w:type="gramEnd"/>
            <w:r w:rsidRPr="00C47E00">
              <w:rPr>
                <w:rFonts w:ascii="Calibri" w:hAnsi="Calibri"/>
              </w:rPr>
              <w:t>-43.</w:t>
            </w:r>
          </w:p>
          <w:p w14:paraId="50AEA1A8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567C7C60" w14:textId="77777777" w:rsidR="00125C4E" w:rsidRPr="00C47E00" w:rsidRDefault="00125C4E" w:rsidP="00125C4E">
            <w:pPr>
              <w:ind w:left="720" w:hanging="720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Kletzien</w:t>
            </w:r>
            <w:proofErr w:type="spellEnd"/>
            <w:r w:rsidRPr="00C47E00">
              <w:rPr>
                <w:rFonts w:ascii="Calibri" w:hAnsi="Calibri"/>
              </w:rPr>
              <w:t xml:space="preserve">, S. B. (2009). Paraphrasing: An effective comprehension strategy.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63(1)</w:t>
            </w:r>
            <w:r w:rsidRPr="00C47E00">
              <w:rPr>
                <w:rFonts w:ascii="Calibri" w:hAnsi="Calibri"/>
              </w:rPr>
              <w:t xml:space="preserve">, 73-77.  </w:t>
            </w:r>
          </w:p>
          <w:p w14:paraId="00BC609F" w14:textId="77777777" w:rsidR="00125C4E" w:rsidRPr="00C47E00" w:rsidRDefault="00125C4E" w:rsidP="00125C4E">
            <w:pPr>
              <w:tabs>
                <w:tab w:val="left" w:pos="-1440"/>
              </w:tabs>
              <w:ind w:left="215" w:hanging="720"/>
              <w:rPr>
                <w:rFonts w:ascii="Calibri" w:hAnsi="Calibri"/>
              </w:rPr>
            </w:pPr>
          </w:p>
          <w:p w14:paraId="55D35CE5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Loveless, T. (2012/2013). The Common Core initiative:  What are the chances of success?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60</w:t>
            </w:r>
            <w:proofErr w:type="gramEnd"/>
            <w:r w:rsidRPr="00C47E00">
              <w:rPr>
                <w:rFonts w:ascii="Calibri" w:hAnsi="Calibri"/>
              </w:rPr>
              <w:t>-63.</w:t>
            </w:r>
          </w:p>
          <w:p w14:paraId="289FB2AF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11969B53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Marzano</w:t>
            </w:r>
            <w:proofErr w:type="spellEnd"/>
            <w:r w:rsidRPr="00C47E00">
              <w:rPr>
                <w:rFonts w:ascii="Calibri" w:hAnsi="Calibri"/>
              </w:rPr>
              <w:t xml:space="preserve">, R. J. (2009). Six steps to better vocabulary instruction.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67(1)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83</w:t>
            </w:r>
            <w:proofErr w:type="gramEnd"/>
            <w:r w:rsidRPr="00C47E00">
              <w:rPr>
                <w:rFonts w:ascii="Calibri" w:hAnsi="Calibri"/>
              </w:rPr>
              <w:t>-84.</w:t>
            </w:r>
          </w:p>
          <w:p w14:paraId="59D17806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53F652D9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Reutzel</w:t>
            </w:r>
            <w:proofErr w:type="spellEnd"/>
            <w:r w:rsidRPr="00C47E00">
              <w:rPr>
                <w:rFonts w:ascii="Calibri" w:hAnsi="Calibri"/>
              </w:rPr>
              <w:t xml:space="preserve">, D. R., Jones, C. D., </w:t>
            </w:r>
            <w:proofErr w:type="spellStart"/>
            <w:r w:rsidRPr="00C47E00">
              <w:rPr>
                <w:rFonts w:ascii="Calibri" w:hAnsi="Calibri"/>
              </w:rPr>
              <w:t>Fawson</w:t>
            </w:r>
            <w:proofErr w:type="spellEnd"/>
            <w:r w:rsidRPr="00C47E00">
              <w:rPr>
                <w:rFonts w:ascii="Calibri" w:hAnsi="Calibri"/>
              </w:rPr>
              <w:t xml:space="preserve">, P. C., &amp; Smith, J. A. (2008). </w:t>
            </w:r>
            <w:proofErr w:type="spellStart"/>
            <w:r w:rsidRPr="00C47E00">
              <w:rPr>
                <w:rFonts w:ascii="Calibri" w:hAnsi="Calibri"/>
              </w:rPr>
              <w:t>Scaffolded</w:t>
            </w:r>
            <w:proofErr w:type="spellEnd"/>
            <w:r w:rsidRPr="00C47E00">
              <w:rPr>
                <w:rFonts w:ascii="Calibri" w:hAnsi="Calibri"/>
              </w:rPr>
              <w:t xml:space="preserve"> silent reading: A complement to </w:t>
            </w:r>
            <w:proofErr w:type="gramStart"/>
            <w:r w:rsidRPr="00C47E00">
              <w:rPr>
                <w:rFonts w:ascii="Calibri" w:hAnsi="Calibri"/>
              </w:rPr>
              <w:t>guided</w:t>
            </w:r>
            <w:proofErr w:type="gramEnd"/>
            <w:r w:rsidRPr="00C47E00">
              <w:rPr>
                <w:rFonts w:ascii="Calibri" w:hAnsi="Calibri"/>
              </w:rPr>
              <w:t xml:space="preserve"> repeated oral reading that works! 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62(3)</w:t>
            </w:r>
            <w:r w:rsidRPr="00C47E00">
              <w:rPr>
                <w:rFonts w:ascii="Calibri" w:hAnsi="Calibri"/>
              </w:rPr>
              <w:t xml:space="preserve">, 194-207.  </w:t>
            </w:r>
          </w:p>
          <w:p w14:paraId="2BD5326A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</w:p>
          <w:p w14:paraId="2CFBCF58" w14:textId="77777777" w:rsidR="00125C4E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534E3DB5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proofErr w:type="spellStart"/>
            <w:r w:rsidRPr="00C47E00">
              <w:rPr>
                <w:rFonts w:ascii="Calibri" w:hAnsi="Calibri"/>
              </w:rPr>
              <w:t>Scharlach</w:t>
            </w:r>
            <w:proofErr w:type="spellEnd"/>
            <w:r w:rsidRPr="00C47E00">
              <w:rPr>
                <w:rFonts w:ascii="Calibri" w:hAnsi="Calibri"/>
              </w:rPr>
              <w:t xml:space="preserve">, T. D. (2008). START comprehending:  Students and Teachers Actively Reading Text.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62(1)</w:t>
            </w:r>
            <w:r w:rsidRPr="00C47E00">
              <w:rPr>
                <w:rFonts w:ascii="Calibri" w:hAnsi="Calibri"/>
              </w:rPr>
              <w:t>, 20-31.</w:t>
            </w:r>
          </w:p>
          <w:p w14:paraId="7BA22151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15E51518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Shanahan, T. (2012/2013). The Common Core ate my baby. </w:t>
            </w:r>
            <w:r w:rsidRPr="00C47E00">
              <w:rPr>
                <w:rFonts w:ascii="Calibri" w:hAnsi="Calibri"/>
                <w:i/>
                <w:iCs/>
              </w:rPr>
              <w:t>Educational Leadership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70(4)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11</w:t>
            </w:r>
            <w:proofErr w:type="gramEnd"/>
            <w:r w:rsidRPr="00C47E00">
              <w:rPr>
                <w:rFonts w:ascii="Calibri" w:hAnsi="Calibri"/>
              </w:rPr>
              <w:t>-16.</w:t>
            </w:r>
          </w:p>
          <w:p w14:paraId="1066E628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569834FE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Shanahan, T. (2014). This is NOT close reading (but we’ll tell you what is). </w:t>
            </w:r>
            <w:r w:rsidRPr="00C47E00">
              <w:rPr>
                <w:rFonts w:ascii="Calibri" w:hAnsi="Calibri"/>
                <w:i/>
                <w:iCs/>
              </w:rPr>
              <w:t>Instructor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123(4)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28</w:t>
            </w:r>
            <w:proofErr w:type="gramEnd"/>
            <w:r w:rsidRPr="00C47E00">
              <w:rPr>
                <w:rFonts w:ascii="Calibri" w:hAnsi="Calibri"/>
              </w:rPr>
              <w:t>-30.</w:t>
            </w:r>
          </w:p>
          <w:p w14:paraId="2835D169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33AF7A85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Stahl, K. A. D. (2011). Applying new visions of reading development in today’s classrooms.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65(1)</w:t>
            </w:r>
            <w:r w:rsidRPr="00C47E00">
              <w:rPr>
                <w:rFonts w:ascii="Calibri" w:hAnsi="Calibri"/>
              </w:rPr>
              <w:t>, 52-56.</w:t>
            </w:r>
          </w:p>
          <w:p w14:paraId="6DFBFDD4" w14:textId="77777777" w:rsidR="00125C4E" w:rsidRPr="00C47E00" w:rsidRDefault="00125C4E" w:rsidP="00125C4E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7745B316" w14:textId="77777777" w:rsidR="00125C4E" w:rsidRPr="00C47E00" w:rsidRDefault="00125C4E" w:rsidP="00125C4E">
            <w:pPr>
              <w:tabs>
                <w:tab w:val="left" w:pos="-1440"/>
              </w:tabs>
              <w:ind w:left="215" w:hanging="21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Tregenza</w:t>
            </w:r>
            <w:proofErr w:type="spellEnd"/>
            <w:r>
              <w:rPr>
                <w:rFonts w:ascii="Calibri" w:hAnsi="Calibri"/>
              </w:rPr>
              <w:t>,</w:t>
            </w:r>
            <w:r w:rsidRPr="00C47E00">
              <w:rPr>
                <w:rFonts w:ascii="Calibri" w:hAnsi="Calibri"/>
              </w:rPr>
              <w:t xml:space="preserve"> J. (200</w:t>
            </w:r>
            <w:r>
              <w:rPr>
                <w:rFonts w:ascii="Calibri" w:hAnsi="Calibri"/>
              </w:rPr>
              <w:t>8</w:t>
            </w:r>
            <w:r w:rsidRPr="00C47E00">
              <w:rPr>
                <w:rFonts w:ascii="Calibri" w:hAnsi="Calibri"/>
              </w:rPr>
              <w:t xml:space="preserve">). </w:t>
            </w:r>
            <w:r>
              <w:rPr>
                <w:rFonts w:ascii="Calibri" w:hAnsi="Calibri"/>
              </w:rPr>
              <w:t>Beyond simple comprehension</w:t>
            </w:r>
            <w:r w:rsidRPr="00C47E00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i/>
                <w:iCs/>
              </w:rPr>
              <w:t>Literacy Today</w:t>
            </w:r>
            <w:r w:rsidRPr="00C47E0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i/>
                <w:iCs/>
              </w:rPr>
              <w:t>5</w:t>
            </w:r>
            <w:r w:rsidRPr="00C47E00">
              <w:rPr>
                <w:rFonts w:ascii="Calibri" w:hAnsi="Calibri"/>
                <w:i/>
                <w:iCs/>
              </w:rPr>
              <w:t>7</w:t>
            </w:r>
            <w:proofErr w:type="gramStart"/>
            <w:r w:rsidRPr="00C47E00">
              <w:rPr>
                <w:rFonts w:ascii="Calibri" w:hAnsi="Calibri"/>
                <w:i/>
                <w:iCs/>
              </w:rPr>
              <w:t xml:space="preserve">, </w:t>
            </w:r>
            <w:r w:rsidRPr="00C47E0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24</w:t>
            </w:r>
            <w:proofErr w:type="gramEnd"/>
            <w:r>
              <w:rPr>
                <w:rFonts w:ascii="Calibri" w:hAnsi="Calibri"/>
              </w:rPr>
              <w:t>-26</w:t>
            </w:r>
            <w:r w:rsidRPr="00C47E00">
              <w:rPr>
                <w:rFonts w:ascii="Calibri" w:hAnsi="Calibri"/>
              </w:rPr>
              <w:t>.</w:t>
            </w:r>
          </w:p>
          <w:p w14:paraId="365DF309" w14:textId="77777777" w:rsidR="00125C4E" w:rsidRPr="00125C4E" w:rsidRDefault="00125C4E" w:rsidP="00125C4E">
            <w:pPr>
              <w:pStyle w:val="BodyTextIndent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</w:p>
          <w:p w14:paraId="2D16FABF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59E3A4A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22F1EF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4C3F41F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8F2859F" w14:textId="77777777" w:rsidR="00EC6B51" w:rsidRPr="00C47E00" w:rsidRDefault="00EC6B51" w:rsidP="00EC6B51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7AFCF7B4" w14:textId="77777777" w:rsidR="00EC6B51" w:rsidRPr="00C47E00" w:rsidRDefault="00EC6B51" w:rsidP="00EC6B51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 xml:space="preserve">Vaughn, S., &amp; Edmonds, M. (2008).  Reading comprehension for older readers.  </w:t>
            </w:r>
            <w:r w:rsidRPr="00C47E00">
              <w:rPr>
                <w:rFonts w:ascii="Calibri" w:hAnsi="Calibri"/>
                <w:i/>
                <w:iCs/>
              </w:rPr>
              <w:t>Intervention in School and Clinic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41(3)</w:t>
            </w:r>
            <w:r w:rsidRPr="00C47E00">
              <w:rPr>
                <w:rFonts w:ascii="Calibri" w:hAnsi="Calibri"/>
              </w:rPr>
              <w:t xml:space="preserve">, 131-137.  </w:t>
            </w:r>
          </w:p>
          <w:p w14:paraId="55B7B784" w14:textId="77777777" w:rsidR="00EC6B51" w:rsidRPr="00C47E00" w:rsidRDefault="00EC6B51" w:rsidP="00EC6B51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</w:p>
          <w:p w14:paraId="04081800" w14:textId="77777777" w:rsidR="00EC6B51" w:rsidRPr="00C47E00" w:rsidRDefault="00EC6B51" w:rsidP="00EC6B51">
            <w:pPr>
              <w:tabs>
                <w:tab w:val="left" w:pos="-1440"/>
              </w:tabs>
              <w:ind w:left="720" w:hanging="720"/>
              <w:rPr>
                <w:rFonts w:ascii="Calibri" w:hAnsi="Calibri"/>
              </w:rPr>
            </w:pPr>
            <w:r w:rsidRPr="00C47E00">
              <w:rPr>
                <w:rFonts w:ascii="Calibri" w:hAnsi="Calibri"/>
              </w:rPr>
              <w:t>Worthy, J., &amp; Broaddus, K</w:t>
            </w:r>
            <w:proofErr w:type="gramStart"/>
            <w:r w:rsidRPr="00C47E00">
              <w:rPr>
                <w:rFonts w:ascii="Calibri" w:hAnsi="Calibri"/>
              </w:rPr>
              <w:t>.(</w:t>
            </w:r>
            <w:proofErr w:type="gramEnd"/>
            <w:r w:rsidRPr="00C47E00">
              <w:rPr>
                <w:rFonts w:ascii="Calibri" w:hAnsi="Calibri"/>
              </w:rPr>
              <w:t xml:space="preserve">2001/2002). Fluency beyond the primary grades: From group performance to silent, independent reading. </w:t>
            </w:r>
            <w:r w:rsidRPr="00C47E00">
              <w:rPr>
                <w:rFonts w:ascii="Calibri" w:hAnsi="Calibri"/>
                <w:i/>
                <w:iCs/>
              </w:rPr>
              <w:t>The Reading Teacher</w:t>
            </w:r>
            <w:r w:rsidRPr="00C47E00">
              <w:rPr>
                <w:rFonts w:ascii="Calibri" w:hAnsi="Calibri"/>
              </w:rPr>
              <w:t xml:space="preserve">, </w:t>
            </w:r>
            <w:r w:rsidRPr="00C47E00">
              <w:rPr>
                <w:rFonts w:ascii="Calibri" w:hAnsi="Calibri"/>
                <w:i/>
                <w:iCs/>
              </w:rPr>
              <w:t>55(4)</w:t>
            </w:r>
            <w:r w:rsidRPr="00C47E00">
              <w:rPr>
                <w:rFonts w:ascii="Calibri" w:hAnsi="Calibri"/>
              </w:rPr>
              <w:t>, 334-343.</w:t>
            </w:r>
          </w:p>
          <w:p w14:paraId="4C7935E9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611604A8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4BD9925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18A8DA70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20D0C4CB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041A6BE1" w14:textId="77777777" w:rsidR="00540DC1" w:rsidRPr="00851046" w:rsidRDefault="00540DC1" w:rsidP="00B47B64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6AF60FA7" w14:textId="77777777" w:rsidR="00B47B64" w:rsidRPr="00851046" w:rsidRDefault="00B47B64" w:rsidP="00C3604D">
      <w:pPr>
        <w:rPr>
          <w:rFonts w:ascii="Lucida Grande" w:hAnsi="Lucida Grande" w:cs="Lucida Grande"/>
          <w:sz w:val="24"/>
          <w:szCs w:val="24"/>
        </w:rPr>
      </w:pPr>
    </w:p>
    <w:sectPr w:rsidR="00B47B64" w:rsidRPr="00851046" w:rsidSect="00C3604D">
      <w:headerReference w:type="default" r:id="rId10"/>
      <w:footerReference w:type="default" r:id="rId11"/>
      <w:pgSz w:w="12240" w:h="15840"/>
      <w:pgMar w:top="1080" w:right="1440" w:bottom="1440" w:left="1440" w:header="72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6DBE" w14:textId="77777777" w:rsidR="00112C87" w:rsidRDefault="00112C87" w:rsidP="00E2436B">
      <w:pPr>
        <w:spacing w:after="0" w:line="240" w:lineRule="auto"/>
      </w:pPr>
      <w:r>
        <w:separator/>
      </w:r>
    </w:p>
  </w:endnote>
  <w:endnote w:type="continuationSeparator" w:id="0">
    <w:p w14:paraId="67630278" w14:textId="77777777" w:rsidR="00112C87" w:rsidRDefault="00112C87" w:rsidP="00E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3F2C" w14:textId="77777777" w:rsidR="00112C87" w:rsidRPr="003044E7" w:rsidRDefault="00112C87" w:rsidP="003044E7">
    <w:pPr>
      <w:pStyle w:val="Footer"/>
      <w:jc w:val="center"/>
      <w:rPr>
        <w:rFonts w:ascii="Lucida Grande" w:hAnsi="Lucida Grande" w:cs="Lucida Grande"/>
        <w:sz w:val="18"/>
        <w:szCs w:val="18"/>
      </w:rPr>
    </w:pPr>
    <w:r>
      <w:rPr>
        <w:rFonts w:ascii="Lucida Grande" w:hAnsi="Lucida Grande" w:cs="Lucida Grande"/>
        <w:noProof/>
        <w:sz w:val="18"/>
        <w:szCs w:val="18"/>
      </w:rPr>
      <w:drawing>
        <wp:anchor distT="0" distB="0" distL="914400" distR="114300" simplePos="0" relativeHeight="251657216" behindDoc="0" locked="0" layoutInCell="1" allowOverlap="0" wp14:anchorId="55D976D3" wp14:editId="12B06F98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257300" cy="349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49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Lucida Grande" w:hAnsi="Lucida Grande" w:cs="Lucida Grande"/>
        <w:sz w:val="18"/>
        <w:szCs w:val="18"/>
      </w:rPr>
      <w:t xml:space="preserve">                                       </w:t>
    </w:r>
    <w:r w:rsidRPr="003044E7">
      <w:rPr>
        <w:rFonts w:ascii="Lucida Grande" w:hAnsi="Lucida Grande" w:cs="Lucida Grande"/>
        <w:sz w:val="18"/>
        <w:szCs w:val="18"/>
      </w:rPr>
      <w:t>Copyright © 2014 – Curriculum Designers,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766C" w14:textId="77777777" w:rsidR="00112C87" w:rsidRDefault="00112C87" w:rsidP="00E2436B">
      <w:pPr>
        <w:spacing w:after="0" w:line="240" w:lineRule="auto"/>
      </w:pPr>
      <w:r>
        <w:separator/>
      </w:r>
    </w:p>
  </w:footnote>
  <w:footnote w:type="continuationSeparator" w:id="0">
    <w:p w14:paraId="1405B8F1" w14:textId="77777777" w:rsidR="00112C87" w:rsidRDefault="00112C87" w:rsidP="00E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60D8" w14:textId="77777777" w:rsidR="00112C87" w:rsidRPr="00E2436B" w:rsidRDefault="00112C87" w:rsidP="00E2436B">
    <w:pPr>
      <w:pStyle w:val="Header"/>
      <w:jc w:val="center"/>
      <w:rPr>
        <w:rFonts w:ascii="Lucida Grande" w:hAnsi="Lucida Grande" w:cs="Lucida Grande"/>
        <w:sz w:val="28"/>
        <w:szCs w:val="28"/>
      </w:rPr>
    </w:pPr>
    <w:r>
      <w:rPr>
        <w:rFonts w:ascii="Lucida Grande" w:hAnsi="Lucida Grande" w:cs="Lucida Grande"/>
        <w:sz w:val="28"/>
        <w:szCs w:val="28"/>
      </w:rPr>
      <w:t>Curriculum21/ CICU DRAFT – Course MAP</w:t>
    </w:r>
  </w:p>
  <w:p w14:paraId="651123C5" w14:textId="77777777" w:rsidR="00112C87" w:rsidRPr="00E2436B" w:rsidRDefault="00112C87" w:rsidP="00E2436B">
    <w:pPr>
      <w:pStyle w:val="Header"/>
      <w:jc w:val="center"/>
      <w:rPr>
        <w:rFonts w:ascii="Lucida Grande" w:hAnsi="Lucida Grande" w:cs="Lucida Grande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3B"/>
    <w:multiLevelType w:val="hybridMultilevel"/>
    <w:tmpl w:val="8556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868"/>
    <w:multiLevelType w:val="hybridMultilevel"/>
    <w:tmpl w:val="11F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6F47"/>
    <w:multiLevelType w:val="hybridMultilevel"/>
    <w:tmpl w:val="873A1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440B"/>
    <w:multiLevelType w:val="hybridMultilevel"/>
    <w:tmpl w:val="3C5AD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96DDC"/>
    <w:multiLevelType w:val="hybridMultilevel"/>
    <w:tmpl w:val="9E7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367B"/>
    <w:multiLevelType w:val="hybridMultilevel"/>
    <w:tmpl w:val="82A0B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446"/>
    <w:multiLevelType w:val="hybridMultilevel"/>
    <w:tmpl w:val="8E6A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3673B"/>
    <w:multiLevelType w:val="hybridMultilevel"/>
    <w:tmpl w:val="C9D0A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271466"/>
    <w:multiLevelType w:val="hybridMultilevel"/>
    <w:tmpl w:val="89E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0166E"/>
    <w:multiLevelType w:val="hybridMultilevel"/>
    <w:tmpl w:val="439A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0AC9"/>
    <w:multiLevelType w:val="hybridMultilevel"/>
    <w:tmpl w:val="0208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8401F"/>
    <w:multiLevelType w:val="hybridMultilevel"/>
    <w:tmpl w:val="6A5A5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026F5"/>
    <w:multiLevelType w:val="hybridMultilevel"/>
    <w:tmpl w:val="401C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10324"/>
    <w:multiLevelType w:val="hybridMultilevel"/>
    <w:tmpl w:val="3774D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A77A0"/>
    <w:multiLevelType w:val="hybridMultilevel"/>
    <w:tmpl w:val="1542D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3F339F"/>
    <w:multiLevelType w:val="hybridMultilevel"/>
    <w:tmpl w:val="305ED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002EAF"/>
    <w:rsid w:val="00014240"/>
    <w:rsid w:val="00021FD4"/>
    <w:rsid w:val="0007045F"/>
    <w:rsid w:val="000B4AEC"/>
    <w:rsid w:val="000F626C"/>
    <w:rsid w:val="00112C87"/>
    <w:rsid w:val="00125C4E"/>
    <w:rsid w:val="00144217"/>
    <w:rsid w:val="00171E48"/>
    <w:rsid w:val="002739A3"/>
    <w:rsid w:val="003044E7"/>
    <w:rsid w:val="003139FB"/>
    <w:rsid w:val="003A4F4E"/>
    <w:rsid w:val="003D7EEE"/>
    <w:rsid w:val="004A4A3B"/>
    <w:rsid w:val="004A7FAA"/>
    <w:rsid w:val="004B0E13"/>
    <w:rsid w:val="00540DC1"/>
    <w:rsid w:val="00547BE0"/>
    <w:rsid w:val="005648BF"/>
    <w:rsid w:val="005671D9"/>
    <w:rsid w:val="00594BC6"/>
    <w:rsid w:val="00594C80"/>
    <w:rsid w:val="005D54ED"/>
    <w:rsid w:val="005E48AA"/>
    <w:rsid w:val="00647B7C"/>
    <w:rsid w:val="00654D2D"/>
    <w:rsid w:val="0070542E"/>
    <w:rsid w:val="007B1A6A"/>
    <w:rsid w:val="008433C6"/>
    <w:rsid w:val="00851046"/>
    <w:rsid w:val="00874A57"/>
    <w:rsid w:val="008A56EA"/>
    <w:rsid w:val="00981B38"/>
    <w:rsid w:val="009A19DD"/>
    <w:rsid w:val="00A5355E"/>
    <w:rsid w:val="00A66A9C"/>
    <w:rsid w:val="00A86E81"/>
    <w:rsid w:val="00AA230F"/>
    <w:rsid w:val="00AA70AA"/>
    <w:rsid w:val="00AC454D"/>
    <w:rsid w:val="00B45124"/>
    <w:rsid w:val="00B47B64"/>
    <w:rsid w:val="00B7792D"/>
    <w:rsid w:val="00B85F59"/>
    <w:rsid w:val="00BD0519"/>
    <w:rsid w:val="00BD306F"/>
    <w:rsid w:val="00BE524D"/>
    <w:rsid w:val="00C04C14"/>
    <w:rsid w:val="00C3604D"/>
    <w:rsid w:val="00CC37DD"/>
    <w:rsid w:val="00CF169A"/>
    <w:rsid w:val="00CF5D9E"/>
    <w:rsid w:val="00D33272"/>
    <w:rsid w:val="00D75AFB"/>
    <w:rsid w:val="00DC7FE0"/>
    <w:rsid w:val="00E0215C"/>
    <w:rsid w:val="00E03240"/>
    <w:rsid w:val="00E2436B"/>
    <w:rsid w:val="00E40977"/>
    <w:rsid w:val="00E46364"/>
    <w:rsid w:val="00EC5341"/>
    <w:rsid w:val="00EC6B51"/>
    <w:rsid w:val="00F3334C"/>
    <w:rsid w:val="00F51BA3"/>
    <w:rsid w:val="00F579DB"/>
    <w:rsid w:val="00F8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A0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paragraph" w:styleId="Heading2">
    <w:name w:val="heading 2"/>
    <w:basedOn w:val="Normal"/>
    <w:next w:val="Normal"/>
    <w:link w:val="Heading2Char"/>
    <w:qFormat/>
    <w:rsid w:val="00540DC1"/>
    <w:pPr>
      <w:keepNext/>
      <w:spacing w:after="0" w:line="201" w:lineRule="exact"/>
      <w:outlineLvl w:val="1"/>
    </w:pPr>
    <w:rPr>
      <w:rFonts w:ascii="Comic Sans MS" w:eastAsia="Times New Roman" w:hAnsi="Comic Sans MS" w:cs="Times New Roman"/>
      <w:b/>
      <w:snapToGrid w:val="0"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semiHidden/>
    <w:rsid w:val="00BD306F"/>
    <w:pPr>
      <w:spacing w:before="240" w:after="0" w:line="240" w:lineRule="auto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D306F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40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0DC1"/>
  </w:style>
  <w:style w:type="character" w:customStyle="1" w:styleId="Heading2Char">
    <w:name w:val="Heading 2 Char"/>
    <w:basedOn w:val="DefaultParagraphFont"/>
    <w:link w:val="Heading2"/>
    <w:rsid w:val="00540DC1"/>
    <w:rPr>
      <w:rFonts w:ascii="Comic Sans MS" w:eastAsia="Times New Roman" w:hAnsi="Comic Sans MS" w:cs="Times New Roman"/>
      <w:b/>
      <w:snapToGrid w:val="0"/>
      <w:sz w:val="24"/>
      <w:szCs w:val="20"/>
      <w:u w:val="single"/>
      <w:lang w:val="en-GB"/>
    </w:rPr>
  </w:style>
  <w:style w:type="character" w:customStyle="1" w:styleId="medium-normal1">
    <w:name w:val="medium-normal1"/>
    <w:basedOn w:val="DefaultParagraphFont"/>
    <w:rsid w:val="00540DC1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AA"/>
  </w:style>
  <w:style w:type="paragraph" w:styleId="Heading2">
    <w:name w:val="heading 2"/>
    <w:basedOn w:val="Normal"/>
    <w:next w:val="Normal"/>
    <w:link w:val="Heading2Char"/>
    <w:qFormat/>
    <w:rsid w:val="00540DC1"/>
    <w:pPr>
      <w:keepNext/>
      <w:spacing w:after="0" w:line="201" w:lineRule="exact"/>
      <w:outlineLvl w:val="1"/>
    </w:pPr>
    <w:rPr>
      <w:rFonts w:ascii="Comic Sans MS" w:eastAsia="Times New Roman" w:hAnsi="Comic Sans MS" w:cs="Times New Roman"/>
      <w:b/>
      <w:snapToGrid w:val="0"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6B"/>
  </w:style>
  <w:style w:type="paragraph" w:styleId="Footer">
    <w:name w:val="footer"/>
    <w:basedOn w:val="Normal"/>
    <w:link w:val="FooterChar"/>
    <w:uiPriority w:val="99"/>
    <w:unhideWhenUsed/>
    <w:rsid w:val="00E2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6B"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semiHidden/>
    <w:rsid w:val="00BD306F"/>
    <w:pPr>
      <w:spacing w:before="240" w:after="0" w:line="240" w:lineRule="auto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D306F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40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0DC1"/>
  </w:style>
  <w:style w:type="character" w:customStyle="1" w:styleId="Heading2Char">
    <w:name w:val="Heading 2 Char"/>
    <w:basedOn w:val="DefaultParagraphFont"/>
    <w:link w:val="Heading2"/>
    <w:rsid w:val="00540DC1"/>
    <w:rPr>
      <w:rFonts w:ascii="Comic Sans MS" w:eastAsia="Times New Roman" w:hAnsi="Comic Sans MS" w:cs="Times New Roman"/>
      <w:b/>
      <w:snapToGrid w:val="0"/>
      <w:sz w:val="24"/>
      <w:szCs w:val="20"/>
      <w:u w:val="single"/>
      <w:lang w:val="en-GB"/>
    </w:rPr>
  </w:style>
  <w:style w:type="character" w:customStyle="1" w:styleId="medium-normal1">
    <w:name w:val="medium-normal1"/>
    <w:basedOn w:val="DefaultParagraphFont"/>
    <w:rsid w:val="00540DC1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urriculum21.com/wp-content/uploads/2015/01/Hathaway_Assignments.doc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B4FA-8CD7-AA4D-8D43-9E4BC71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1561</Words>
  <Characters>8902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Heidi Hayes Jacobs</cp:lastModifiedBy>
  <cp:revision>11</cp:revision>
  <dcterms:created xsi:type="dcterms:W3CDTF">2014-11-10T13:40:00Z</dcterms:created>
  <dcterms:modified xsi:type="dcterms:W3CDTF">2015-02-17T19:23:00Z</dcterms:modified>
</cp:coreProperties>
</file>